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346D1" w14:textId="77777777" w:rsidR="0037319C" w:rsidRPr="00301139" w:rsidRDefault="0037319C" w:rsidP="0037319C">
      <w:pPr>
        <w:rPr>
          <w:rFonts w:cstheme="minorHAnsi"/>
        </w:rPr>
      </w:pPr>
      <w:r w:rsidRPr="00301139">
        <w:rPr>
          <w:rFonts w:cstheme="minorHAnsi"/>
        </w:rPr>
        <w:t>Obowiązujący materiał:</w:t>
      </w:r>
    </w:p>
    <w:p w14:paraId="0870AFDF" w14:textId="139383E0" w:rsidR="0037319C" w:rsidRPr="00301139" w:rsidRDefault="0037319C" w:rsidP="0037319C">
      <w:pPr>
        <w:pStyle w:val="Nagwek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Dembińska-</w:t>
      </w:r>
      <w:proofErr w:type="spellStart"/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Kieć</w:t>
      </w:r>
      <w:proofErr w:type="spellEnd"/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proofErr w:type="spellStart"/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Naskalski</w:t>
      </w:r>
      <w:proofErr w:type="spellEnd"/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Solnica: </w:t>
      </w:r>
      <w:r w:rsidRPr="00301139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Diagnostyka laboratoryjna z elementami biochemii klinicznej</w:t>
      </w:r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  <w:proofErr w:type="spellStart"/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Edra</w:t>
      </w:r>
      <w:proofErr w:type="spellEnd"/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Urban &amp; Partner, Wrocław 20</w:t>
      </w:r>
      <w:r w:rsidR="00191A6C">
        <w:rPr>
          <w:rFonts w:asciiTheme="minorHAnsi" w:hAnsiTheme="minorHAnsi" w:cstheme="minorHAnsi"/>
          <w:b w:val="0"/>
          <w:bCs w:val="0"/>
          <w:sz w:val="22"/>
          <w:szCs w:val="22"/>
        </w:rPr>
        <w:t>22</w:t>
      </w:r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</w:p>
    <w:p w14:paraId="3F6EA577" w14:textId="1AEE2F14" w:rsidR="0037319C" w:rsidRPr="00301139" w:rsidRDefault="0037319C" w:rsidP="0037319C">
      <w:pPr>
        <w:pStyle w:val="Nagwek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Interna Szczeklika. Wyd. 2013 r. i późniejsze. Wybrane rozdziały.</w:t>
      </w:r>
    </w:p>
    <w:p w14:paraId="3E90C631" w14:textId="6A8516B2" w:rsidR="0037319C" w:rsidRPr="00301139" w:rsidRDefault="0037319C" w:rsidP="0037319C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Materiały dodatkowe:</w:t>
      </w:r>
    </w:p>
    <w:p w14:paraId="3014CE5A" w14:textId="5AA4542C" w:rsidR="0037319C" w:rsidRPr="00301139" w:rsidRDefault="0037319C" w:rsidP="00E61226">
      <w:pPr>
        <w:pStyle w:val="Nagwek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01139">
        <w:rPr>
          <w:rFonts w:asciiTheme="minorHAnsi" w:hAnsiTheme="minorHAnsi" w:cstheme="minorHAnsi"/>
          <w:b w:val="0"/>
          <w:bCs w:val="0"/>
          <w:sz w:val="22"/>
          <w:szCs w:val="22"/>
        </w:rPr>
        <w:t>S. Angielski, Z. Jakubowski. Biochemia Kliniczna. Wyd. 1997 r.</w:t>
      </w:r>
    </w:p>
    <w:p w14:paraId="26368B3E" w14:textId="77777777" w:rsidR="0037319C" w:rsidRDefault="0037319C" w:rsidP="00E61226">
      <w:pPr>
        <w:jc w:val="both"/>
        <w:rPr>
          <w:b/>
          <w:sz w:val="24"/>
        </w:rPr>
      </w:pPr>
    </w:p>
    <w:p w14:paraId="00ECC10A" w14:textId="293D0D5E" w:rsidR="009D2C53" w:rsidRPr="00F77B86" w:rsidRDefault="009D2C53" w:rsidP="00E61226">
      <w:pPr>
        <w:jc w:val="both"/>
        <w:rPr>
          <w:b/>
          <w:sz w:val="24"/>
        </w:rPr>
      </w:pPr>
      <w:r w:rsidRPr="00F77B86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ACCC4E" wp14:editId="0726994B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85775" cy="180340"/>
                <wp:effectExtent l="0" t="0" r="28575" b="10160"/>
                <wp:wrapTopAndBottom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EE880" id="Prostokąt 3" o:spid="_x0000_s1026" style="position:absolute;margin-left:0;margin-top:0;width:38.25pt;height:14.2pt;z-index:25166028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" fillcolor="#ffc000 [3207]" strokeweight=".26mm">
                <v:stroke endcap="square"/>
                <w10:wrap type="topAndBottom" anchorx="margin"/>
              </v:rect>
            </w:pict>
          </mc:Fallback>
        </mc:AlternateContent>
      </w:r>
      <w:r w:rsidRPr="00F77B86">
        <w:rPr>
          <w:b/>
          <w:sz w:val="24"/>
        </w:rPr>
        <w:t>Zaburzenia gospodarki wodno-elektrolitowej. Zaburzenia RKZ.</w:t>
      </w:r>
    </w:p>
    <w:p w14:paraId="15B64985" w14:textId="77777777" w:rsidR="009D2C53" w:rsidRDefault="009D2C53" w:rsidP="00E61226">
      <w:pPr>
        <w:jc w:val="both"/>
      </w:pPr>
      <w:r>
        <w:t>Zakres teoretyczny:</w:t>
      </w:r>
    </w:p>
    <w:p w14:paraId="0D2F1F3B" w14:textId="77777777" w:rsidR="009D2C53" w:rsidRPr="009D2C53" w:rsidRDefault="009D2C53" w:rsidP="00E61226">
      <w:pPr>
        <w:jc w:val="both"/>
      </w:pPr>
      <w:r w:rsidRPr="009D2C53">
        <w:t xml:space="preserve">Kwasica metaboliczna, kwasica oddechowa, </w:t>
      </w:r>
      <w:proofErr w:type="spellStart"/>
      <w:r w:rsidRPr="009D2C53">
        <w:t>zasadowica</w:t>
      </w:r>
      <w:proofErr w:type="spellEnd"/>
      <w:r w:rsidRPr="009D2C53">
        <w:t xml:space="preserve"> metaboliczna, </w:t>
      </w:r>
      <w:proofErr w:type="spellStart"/>
      <w:r w:rsidRPr="009D2C53">
        <w:t>zasadowica</w:t>
      </w:r>
      <w:proofErr w:type="spellEnd"/>
      <w:r w:rsidRPr="009D2C53">
        <w:t xml:space="preserve"> oddechowa, </w:t>
      </w:r>
      <w:proofErr w:type="spellStart"/>
      <w:r w:rsidRPr="009D2C53">
        <w:t>przewodnienie</w:t>
      </w:r>
      <w:proofErr w:type="spellEnd"/>
      <w:r w:rsidRPr="009D2C53">
        <w:t xml:space="preserve"> i odwodnienie, hiponatremia, </w:t>
      </w:r>
      <w:proofErr w:type="spellStart"/>
      <w:r w:rsidRPr="009D2C53">
        <w:t>hipernatremia</w:t>
      </w:r>
      <w:proofErr w:type="spellEnd"/>
      <w:r w:rsidRPr="009D2C53">
        <w:t xml:space="preserve">, hipokaliemia, hiperkaliemia, </w:t>
      </w:r>
      <w:proofErr w:type="spellStart"/>
      <w:r w:rsidRPr="009D2C53">
        <w:t>osmolalność</w:t>
      </w:r>
      <w:proofErr w:type="spellEnd"/>
      <w:r w:rsidRPr="009D2C53">
        <w:t xml:space="preserve"> czym jest i od czego zależy, przestrzenie wodne i skład jonowy poszczególnych przestrzeni wodnych, udział hormonów w regulacji gospodarki wodno-elektrolitowej, rola nerek w utrzymaniu hemostazy gospodarki wodno-elektrolitowej i równowagi kwasowo-zasadowej.</w:t>
      </w:r>
    </w:p>
    <w:p w14:paraId="63CDC3FB" w14:textId="77777777" w:rsidR="00E8000A" w:rsidRDefault="00E8000A" w:rsidP="00E61226">
      <w:pPr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D37443" wp14:editId="41201A03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485775" cy="180340"/>
                <wp:effectExtent l="0" t="0" r="28575" b="10160"/>
                <wp:wrapTopAndBottom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8AD0B" id="Prostokąt 4" o:spid="_x0000_s1026" style="position:absolute;margin-left:0;margin-top:24pt;width:38.25pt;height:14.2pt;z-index:25166233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" fillcolor="#a8d08d [1945]" strokeweight=".26mm">
                <v:stroke endcap="square"/>
                <w10:wrap type="topAndBottom" anchorx="margin"/>
              </v:rect>
            </w:pict>
          </mc:Fallback>
        </mc:AlternateContent>
      </w:r>
    </w:p>
    <w:p w14:paraId="67E45673" w14:textId="52CEE535" w:rsidR="009D2C53" w:rsidRPr="00F77B86" w:rsidRDefault="00E8000A" w:rsidP="00E61226">
      <w:pPr>
        <w:jc w:val="both"/>
        <w:rPr>
          <w:b/>
          <w:sz w:val="24"/>
        </w:rPr>
      </w:pPr>
      <w:r w:rsidRPr="00F77B86">
        <w:rPr>
          <w:b/>
          <w:sz w:val="24"/>
        </w:rPr>
        <w:t xml:space="preserve">Zaburzenia czynności narządowej </w:t>
      </w:r>
      <w:r w:rsidR="00E5323B" w:rsidRPr="00F77B86">
        <w:rPr>
          <w:b/>
          <w:sz w:val="24"/>
        </w:rPr>
        <w:t>–</w:t>
      </w:r>
      <w:r w:rsidR="00301139">
        <w:rPr>
          <w:b/>
          <w:sz w:val="24"/>
        </w:rPr>
        <w:t xml:space="preserve"> nerka</w:t>
      </w:r>
    </w:p>
    <w:p w14:paraId="3DD56F44" w14:textId="77777777" w:rsidR="00E8000A" w:rsidRPr="00E8000A" w:rsidRDefault="00E8000A" w:rsidP="00E61226">
      <w:pPr>
        <w:jc w:val="both"/>
      </w:pPr>
      <w:r w:rsidRPr="00E8000A">
        <w:t>Zakres teoretyczny:</w:t>
      </w:r>
    </w:p>
    <w:p w14:paraId="1CB3CC00" w14:textId="77777777" w:rsidR="00301139" w:rsidRDefault="0025000A" w:rsidP="0025000A">
      <w:r w:rsidRPr="0025000A">
        <w:t xml:space="preserve">Definicja oraz rodzaje białkomoczu w chorobach układu moczowego. Wielkość przesączania kłębuszkowego oraz substancje używane do jego wyznaczania. Substancje, których poziom oznacza się w surowicy przy ocenie funkcjonowania nerek. Wskaźnik ACR oraz jego przydatność w monitorowaniu stopnia uszkodzenia nerek. </w:t>
      </w:r>
    </w:p>
    <w:p w14:paraId="26E6BC50" w14:textId="77777777" w:rsidR="00301139" w:rsidRPr="0025000A" w:rsidRDefault="00301139" w:rsidP="0025000A"/>
    <w:p w14:paraId="4D6F7B95" w14:textId="77777777" w:rsidR="002D7074" w:rsidRPr="00E8000A" w:rsidRDefault="002D7074" w:rsidP="00E61226">
      <w:pPr>
        <w:jc w:val="both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92BFAF" wp14:editId="23D040D7">
                <wp:simplePos x="0" y="0"/>
                <wp:positionH relativeFrom="margin">
                  <wp:align>left</wp:align>
                </wp:positionH>
                <wp:positionV relativeFrom="paragraph">
                  <wp:posOffset>190500</wp:posOffset>
                </wp:positionV>
                <wp:extent cx="485775" cy="180340"/>
                <wp:effectExtent l="0" t="0" r="28575" b="10160"/>
                <wp:wrapTopAndBottom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2265D" id="Prostokąt 5" o:spid="_x0000_s1026" style="position:absolute;margin-left:0;margin-top:15pt;width:38.25pt;height:14.2pt;z-index:25166438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" fillcolor="red" strokeweight=".26mm">
                <v:stroke endcap="square"/>
                <w10:wrap type="topAndBottom" anchorx="margin"/>
              </v:rect>
            </w:pict>
          </mc:Fallback>
        </mc:AlternateContent>
      </w:r>
    </w:p>
    <w:p w14:paraId="288F22E2" w14:textId="6EF0270A" w:rsidR="00007C89" w:rsidRPr="00007C89" w:rsidRDefault="00007C89" w:rsidP="00007C89">
      <w:pPr>
        <w:jc w:val="both"/>
        <w:rPr>
          <w:b/>
          <w:sz w:val="24"/>
        </w:rPr>
      </w:pPr>
      <w:r w:rsidRPr="00007C89">
        <w:rPr>
          <w:b/>
          <w:sz w:val="24"/>
        </w:rPr>
        <w:t>Rola wątroby w utrzymaniu homeostazy – kwasy żółciowe, barwniki żółciowe,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lipoproteiny</w:t>
      </w:r>
      <w:proofErr w:type="spellEnd"/>
      <w:r>
        <w:rPr>
          <w:b/>
          <w:sz w:val="24"/>
        </w:rPr>
        <w:t xml:space="preserve"> i białka surowicy</w:t>
      </w:r>
    </w:p>
    <w:p w14:paraId="48E6C93A" w14:textId="0E1699AE" w:rsidR="00007C89" w:rsidRPr="00A93685" w:rsidRDefault="00007C89" w:rsidP="00007C89">
      <w:pPr>
        <w:jc w:val="both"/>
      </w:pPr>
      <w:r w:rsidRPr="00A93685">
        <w:t>Zakres teoretyczny:</w:t>
      </w:r>
    </w:p>
    <w:p w14:paraId="58C29E25" w14:textId="77777777" w:rsidR="00007C89" w:rsidRPr="00A93685" w:rsidRDefault="00007C89" w:rsidP="00007C89">
      <w:pPr>
        <w:jc w:val="both"/>
      </w:pPr>
      <w:r w:rsidRPr="00A93685">
        <w:t xml:space="preserve">Funkcje wątroby; skład i rola żółci. Metabolizm wątroby w stanie głodu i sytości. </w:t>
      </w:r>
      <w:proofErr w:type="spellStart"/>
      <w:r w:rsidRPr="00A93685">
        <w:t>Lipoproteiny</w:t>
      </w:r>
      <w:proofErr w:type="spellEnd"/>
      <w:r w:rsidRPr="00A93685">
        <w:t xml:space="preserve">: budowa, frakcje, rola w fizjologii i patologii, </w:t>
      </w:r>
      <w:proofErr w:type="spellStart"/>
      <w:r w:rsidRPr="00A93685">
        <w:t>dyslipidemie</w:t>
      </w:r>
      <w:proofErr w:type="spellEnd"/>
      <w:r w:rsidRPr="00A93685">
        <w:t xml:space="preserve">. Podział i funkcje </w:t>
      </w:r>
      <w:proofErr w:type="spellStart"/>
      <w:r w:rsidRPr="00A93685">
        <w:t>apolipoprotein</w:t>
      </w:r>
      <w:proofErr w:type="spellEnd"/>
      <w:r w:rsidRPr="00A93685">
        <w:t xml:space="preserve">. Kwasy żółciowe: </w:t>
      </w:r>
      <w:proofErr w:type="spellStart"/>
      <w:r w:rsidRPr="00A93685">
        <w:t>biosyneteza</w:t>
      </w:r>
      <w:proofErr w:type="spellEnd"/>
      <w:r w:rsidRPr="00A93685">
        <w:t xml:space="preserve"> wraz z regulacją, zaburzenia syntezy kwasów żółciowych, rodzaje, rola w fizjologii i patologii, </w:t>
      </w:r>
      <w:proofErr w:type="spellStart"/>
      <w:r w:rsidRPr="00A93685">
        <w:t>cholestaza</w:t>
      </w:r>
      <w:proofErr w:type="spellEnd"/>
      <w:r w:rsidRPr="00A93685">
        <w:t xml:space="preserve"> wewnątrzwątrobowa ciężarnych. Barwniki żółciowe: biosynteza bilirubiny i jej metabolitów, rola w fizjologii i patologii, zaburzenia biosyntezy i żółtaczki. Białka osocza: podział i rola w fizjologii i patologii. laboratoryjna ocena-m.in. </w:t>
      </w:r>
      <w:proofErr w:type="spellStart"/>
      <w:r w:rsidRPr="00A93685">
        <w:t>lipidogram</w:t>
      </w:r>
      <w:proofErr w:type="spellEnd"/>
      <w:r w:rsidRPr="00A93685">
        <w:t xml:space="preserve">, proteinogram, kwasy żółciowe , barwniki żółciowe, </w:t>
      </w:r>
    </w:p>
    <w:p w14:paraId="0DDE9BB2" w14:textId="03A118CF" w:rsidR="0025000A" w:rsidRPr="0025000A" w:rsidRDefault="0025000A" w:rsidP="00E61226">
      <w:pPr>
        <w:jc w:val="both"/>
      </w:pPr>
    </w:p>
    <w:p w14:paraId="4B978BAB" w14:textId="77777777" w:rsidR="00856FEC" w:rsidRDefault="00856FEC" w:rsidP="00E61226">
      <w:pPr>
        <w:jc w:val="both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544EA7" wp14:editId="485A0847">
                <wp:simplePos x="0" y="0"/>
                <wp:positionH relativeFrom="margin">
                  <wp:posOffset>0</wp:posOffset>
                </wp:positionH>
                <wp:positionV relativeFrom="paragraph">
                  <wp:posOffset>275590</wp:posOffset>
                </wp:positionV>
                <wp:extent cx="485775" cy="180340"/>
                <wp:effectExtent l="0" t="0" r="28575" b="10160"/>
                <wp:wrapTopAndBottom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6A765" id="Prostokąt 6" o:spid="_x0000_s1026" style="position:absolute;margin-left:0;margin-top:21.7pt;width:38.25pt;height:14.2pt;z-index:25166643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" fillcolor="#5b9bd5 [3204]" strokeweight=".26mm">
                <v:stroke endcap="square"/>
                <w10:wrap type="topAndBottom" anchorx="margin"/>
              </v:rect>
            </w:pict>
          </mc:Fallback>
        </mc:AlternateContent>
      </w:r>
    </w:p>
    <w:p w14:paraId="0FD60BFF" w14:textId="77777777" w:rsidR="00856FEC" w:rsidRPr="00F77B86" w:rsidRDefault="00856FEC" w:rsidP="00E61226">
      <w:pPr>
        <w:jc w:val="both"/>
        <w:rPr>
          <w:b/>
          <w:sz w:val="24"/>
        </w:rPr>
      </w:pPr>
      <w:r w:rsidRPr="00F77B86">
        <w:rPr>
          <w:b/>
          <w:sz w:val="24"/>
        </w:rPr>
        <w:t>Zaburzenia przemiany węglowodanowej. Zaburzenia metaboliczne w cukrzycy.</w:t>
      </w:r>
    </w:p>
    <w:p w14:paraId="2196E631" w14:textId="77777777" w:rsidR="00856FEC" w:rsidRDefault="00856FEC" w:rsidP="00E61226">
      <w:pPr>
        <w:jc w:val="both"/>
      </w:pPr>
      <w:r w:rsidRPr="00856FEC">
        <w:t>Zakres teoretyczny:</w:t>
      </w:r>
    </w:p>
    <w:p w14:paraId="5054DBE8" w14:textId="082B2A26" w:rsidR="00856FEC" w:rsidRDefault="00545162" w:rsidP="00E61226">
      <w:pPr>
        <w:jc w:val="both"/>
      </w:pPr>
      <w:r>
        <w:t>Galaktozemia</w:t>
      </w:r>
      <w:r w:rsidR="00364046">
        <w:t xml:space="preserve"> klasyczna</w:t>
      </w:r>
      <w:r w:rsidR="00C509E3">
        <w:t xml:space="preserve">, </w:t>
      </w:r>
      <w:proofErr w:type="spellStart"/>
      <w:r w:rsidR="00C509E3">
        <w:t>g</w:t>
      </w:r>
      <w:r w:rsidR="001C75F1">
        <w:t>likogenozy</w:t>
      </w:r>
      <w:proofErr w:type="spellEnd"/>
      <w:r w:rsidR="001C75F1">
        <w:t xml:space="preserve">: typ </w:t>
      </w:r>
      <w:proofErr w:type="spellStart"/>
      <w:r w:rsidR="001C75F1">
        <w:t>Ia</w:t>
      </w:r>
      <w:proofErr w:type="spellEnd"/>
      <w:r w:rsidR="001C75F1">
        <w:t xml:space="preserve"> i </w:t>
      </w:r>
      <w:proofErr w:type="spellStart"/>
      <w:r w:rsidR="001C75F1">
        <w:t>Ib</w:t>
      </w:r>
      <w:proofErr w:type="spellEnd"/>
      <w:r w:rsidR="001C75F1">
        <w:t>, typ II</w:t>
      </w:r>
      <w:r w:rsidR="00C509E3">
        <w:t xml:space="preserve">. </w:t>
      </w:r>
      <w:r w:rsidR="005B649C">
        <w:t xml:space="preserve">Zaburzenia stężenia glukozy we krwi (hipoglikemia, hiperglikemia), definicja cukrzycy, stan </w:t>
      </w:r>
      <w:proofErr w:type="spellStart"/>
      <w:r w:rsidR="005B649C">
        <w:t>przedcukrzycowy</w:t>
      </w:r>
      <w:proofErr w:type="spellEnd"/>
      <w:r w:rsidR="005B649C">
        <w:t xml:space="preserve">, klasyfikacja cukrzycy, badania stosowane w diagnostyce cukrzycy, badania stosowane w monitorowaniu terapii przeciwcukrzycowej, </w:t>
      </w:r>
      <w:proofErr w:type="spellStart"/>
      <w:r w:rsidR="005B649C">
        <w:t>glikohemoglobina</w:t>
      </w:r>
      <w:proofErr w:type="spellEnd"/>
      <w:r w:rsidR="005B649C">
        <w:t xml:space="preserve"> i </w:t>
      </w:r>
      <w:proofErr w:type="spellStart"/>
      <w:r w:rsidR="005B649C">
        <w:t>fruktozamina</w:t>
      </w:r>
      <w:proofErr w:type="spellEnd"/>
      <w:r w:rsidR="005B649C">
        <w:t>.</w:t>
      </w:r>
    </w:p>
    <w:p w14:paraId="7AFCA867" w14:textId="77777777" w:rsidR="00301139" w:rsidRPr="00856FEC" w:rsidRDefault="00301139" w:rsidP="00E61226">
      <w:pPr>
        <w:jc w:val="both"/>
      </w:pPr>
    </w:p>
    <w:p w14:paraId="62853942" w14:textId="12A3732A" w:rsidR="00B825DC" w:rsidRPr="00F77B86" w:rsidRDefault="00B825DC" w:rsidP="00E61226">
      <w:pPr>
        <w:jc w:val="both"/>
        <w:rPr>
          <w:b/>
          <w:sz w:val="24"/>
        </w:rPr>
      </w:pPr>
      <w:r w:rsidRPr="00F77B86">
        <w:rPr>
          <w:b/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C5AB1" wp14:editId="2C301C6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85775" cy="180340"/>
                <wp:effectExtent l="0" t="0" r="28575" b="10160"/>
                <wp:wrapTopAndBottom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9966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F6F92" id="Prostokąt 2" o:spid="_x0000_s1026" style="position:absolute;margin-left:0;margin-top:0;width:38.25pt;height:14.2pt;z-index:25165824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" fillcolor="#96f" strokeweight=".26mm">
                <v:stroke endcap="square"/>
                <w10:wrap type="topAndBottom" anchorx="margin"/>
              </v:rect>
            </w:pict>
          </mc:Fallback>
        </mc:AlternateContent>
      </w:r>
      <w:r w:rsidR="004A3162">
        <w:rPr>
          <w:b/>
          <w:sz w:val="24"/>
        </w:rPr>
        <w:t>Hormony. N</w:t>
      </w:r>
      <w:r w:rsidRPr="00F77B86">
        <w:rPr>
          <w:b/>
          <w:sz w:val="24"/>
        </w:rPr>
        <w:t>astępstwa zaburzeń czynności osi</w:t>
      </w:r>
      <w:r w:rsidR="004A3162">
        <w:rPr>
          <w:b/>
          <w:sz w:val="24"/>
        </w:rPr>
        <w:t xml:space="preserve"> </w:t>
      </w:r>
      <w:proofErr w:type="spellStart"/>
      <w:r w:rsidR="004A3162">
        <w:rPr>
          <w:b/>
          <w:sz w:val="24"/>
        </w:rPr>
        <w:t>podwzgórze-przysadka-jajniki</w:t>
      </w:r>
      <w:proofErr w:type="spellEnd"/>
      <w:r w:rsidR="004A3162">
        <w:rPr>
          <w:b/>
          <w:sz w:val="24"/>
        </w:rPr>
        <w:t xml:space="preserve">/jądra oraz </w:t>
      </w:r>
      <w:r w:rsidR="004A3162" w:rsidRPr="00F77B86">
        <w:rPr>
          <w:b/>
          <w:sz w:val="24"/>
        </w:rPr>
        <w:t>osi</w:t>
      </w:r>
      <w:r w:rsidR="004A3162">
        <w:rPr>
          <w:b/>
          <w:sz w:val="24"/>
        </w:rPr>
        <w:t xml:space="preserve"> </w:t>
      </w:r>
      <w:proofErr w:type="spellStart"/>
      <w:r w:rsidR="004A3162">
        <w:rPr>
          <w:b/>
          <w:sz w:val="24"/>
        </w:rPr>
        <w:t>podwzgórze-przysadka-tarczyca</w:t>
      </w:r>
      <w:proofErr w:type="spellEnd"/>
      <w:r w:rsidR="004A3162">
        <w:rPr>
          <w:b/>
          <w:sz w:val="24"/>
        </w:rPr>
        <w:t>.</w:t>
      </w:r>
    </w:p>
    <w:p w14:paraId="2BF27AFC" w14:textId="77777777" w:rsidR="00B825DC" w:rsidRDefault="00B825DC" w:rsidP="00E61226">
      <w:pPr>
        <w:jc w:val="both"/>
      </w:pPr>
      <w:r>
        <w:t>Zakres teoretyczny:</w:t>
      </w:r>
    </w:p>
    <w:p w14:paraId="2385CE6D" w14:textId="6EAFB1B6" w:rsidR="004A3162" w:rsidRDefault="004A3162" w:rsidP="00E61226">
      <w:pPr>
        <w:jc w:val="both"/>
      </w:pPr>
      <w:r>
        <w:t>H</w:t>
      </w:r>
      <w:r w:rsidRPr="004A3162">
        <w:t xml:space="preserve">ormony podwzgórza i przysadki; hormony związane z czynnością osi </w:t>
      </w:r>
      <w:proofErr w:type="spellStart"/>
      <w:r w:rsidRPr="004A3162">
        <w:t>podwzgórze-przysadka-jajnik</w:t>
      </w:r>
      <w:proofErr w:type="spellEnd"/>
      <w:r w:rsidRPr="004A3162">
        <w:t>/-jądra (PRL, LH, FSH), diagnostyka hormonalna niepłodności; o</w:t>
      </w:r>
      <w:r>
        <w:t xml:space="preserve">ś </w:t>
      </w:r>
      <w:proofErr w:type="spellStart"/>
      <w:r>
        <w:t>podwzgórze-przysadka-tarczyca</w:t>
      </w:r>
      <w:proofErr w:type="spellEnd"/>
      <w:r>
        <w:t>, hormony tarczycy,</w:t>
      </w:r>
      <w:r w:rsidRPr="004A3162">
        <w:t xml:space="preserve"> </w:t>
      </w:r>
      <w:r>
        <w:t>białka wiążące hormony tarczycy,</w:t>
      </w:r>
      <w:r w:rsidRPr="004A3162">
        <w:t xml:space="preserve"> diagnostyka laboratoryjna nadczyn</w:t>
      </w:r>
      <w:r>
        <w:t>ności i niedoczynności tarczycy,</w:t>
      </w:r>
      <w:r w:rsidRPr="004A3162">
        <w:t xml:space="preserve"> przeciwciała przeciwtarczycowe.</w:t>
      </w:r>
    </w:p>
    <w:p w14:paraId="01F0D91F" w14:textId="77777777" w:rsidR="00301139" w:rsidRPr="00301139" w:rsidRDefault="009D6353" w:rsidP="00301139">
      <w:pPr>
        <w:ind w:left="708"/>
      </w:pPr>
      <w:r w:rsidRPr="00301139">
        <w:t xml:space="preserve">Literatura dodatkowa: </w:t>
      </w:r>
    </w:p>
    <w:p w14:paraId="3E51E445" w14:textId="56270953" w:rsidR="009D6353" w:rsidRPr="00301139" w:rsidRDefault="009D6353" w:rsidP="00301139">
      <w:pPr>
        <w:ind w:left="708"/>
        <w:rPr>
          <w:rFonts w:ascii="Times New Roman" w:eastAsia="Times New Roman" w:hAnsi="Times New Roman" w:cs="Times New Roman"/>
          <w:lang w:eastAsia="pl-PL"/>
        </w:rPr>
      </w:pPr>
      <w:r w:rsidRPr="00301139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"</w:t>
      </w:r>
      <w:r w:rsidRPr="00301139">
        <w:rPr>
          <w:rFonts w:ascii="Calibri" w:eastAsia="Times New Roman" w:hAnsi="Calibri" w:cs="Calibri"/>
          <w:color w:val="000000"/>
          <w:bdr w:val="none" w:sz="0" w:space="0" w:color="auto" w:frame="1"/>
          <w:shd w:val="clear" w:color="auto" w:fill="FFFFFF"/>
          <w:lang w:eastAsia="pl-PL"/>
        </w:rPr>
        <w:t>Diagnostyka i leczenie niepłodności — rekomendacje</w:t>
      </w:r>
      <w:r w:rsidRPr="00301139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 Polskiego Towarzystwa Medycyny Rozrodu i Embriologii</w:t>
      </w:r>
      <w:r w:rsidRPr="003011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01139">
        <w:rPr>
          <w:rFonts w:ascii="Calibri" w:eastAsia="Times New Roman" w:hAnsi="Calibri" w:cs="Calibri"/>
          <w:color w:val="000000"/>
          <w:lang w:eastAsia="pl-PL"/>
        </w:rPr>
        <w:t>(</w:t>
      </w:r>
      <w:proofErr w:type="spellStart"/>
      <w:r w:rsidRPr="00301139">
        <w:rPr>
          <w:rFonts w:ascii="Calibri" w:eastAsia="Times New Roman" w:hAnsi="Calibri" w:cs="Calibri"/>
          <w:color w:val="000000"/>
          <w:lang w:eastAsia="pl-PL"/>
        </w:rPr>
        <w:t>PTMRiE</w:t>
      </w:r>
      <w:proofErr w:type="spellEnd"/>
      <w:r w:rsidRPr="00301139">
        <w:rPr>
          <w:rFonts w:ascii="Calibri" w:eastAsia="Times New Roman" w:hAnsi="Calibri" w:cs="Calibri"/>
          <w:color w:val="000000"/>
          <w:lang w:eastAsia="pl-PL"/>
        </w:rPr>
        <w:t>) oraz Polskiego Towarzystwa Ginekologów</w:t>
      </w:r>
      <w:r w:rsidRPr="00301139">
        <w:rPr>
          <w:rFonts w:ascii="Calibri" w:eastAsia="Times New Roman" w:hAnsi="Calibri" w:cs="Calibri"/>
          <w:color w:val="000000"/>
          <w:bdr w:val="none" w:sz="0" w:space="0" w:color="auto" w:frame="1"/>
          <w:lang w:eastAsia="pl-PL"/>
        </w:rPr>
        <w:t> i Położników (PTGP)" Ginekologia i Perinatologia Praktyczna 2018 tom 3, nr 3, strony 112–140 </w:t>
      </w:r>
      <w:r w:rsidRPr="00301139">
        <w:rPr>
          <w:rFonts w:ascii="Calibri" w:eastAsia="Times New Roman" w:hAnsi="Calibri" w:cs="Calibri"/>
          <w:i/>
          <w:iCs/>
          <w:color w:val="0000FF"/>
          <w:u w:val="single"/>
          <w:bdr w:val="none" w:sz="0" w:space="0" w:color="auto" w:frame="1"/>
          <w:lang w:eastAsia="pl-PL"/>
        </w:rPr>
        <w:t>journals.viamedica.pl</w:t>
      </w:r>
    </w:p>
    <w:p w14:paraId="393F98B7" w14:textId="292C7C9D" w:rsidR="00301139" w:rsidRDefault="00301139" w:rsidP="00E61226">
      <w:pPr>
        <w:jc w:val="both"/>
      </w:pPr>
    </w:p>
    <w:p w14:paraId="08DF160F" w14:textId="77777777" w:rsidR="005F0BB2" w:rsidRDefault="005F0BB2" w:rsidP="00E61226">
      <w:pPr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BE8F08" wp14:editId="45820A29">
                <wp:simplePos x="0" y="0"/>
                <wp:positionH relativeFrom="margin">
                  <wp:posOffset>28575</wp:posOffset>
                </wp:positionH>
                <wp:positionV relativeFrom="paragraph">
                  <wp:posOffset>200025</wp:posOffset>
                </wp:positionV>
                <wp:extent cx="485775" cy="180340"/>
                <wp:effectExtent l="0" t="0" r="28575" b="10160"/>
                <wp:wrapTopAndBottom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7EB54" id="Prostokąt 7" o:spid="_x0000_s1026" style="position:absolute;margin-left:2.25pt;margin-top:15.75pt;width:38.25pt;height:14.2pt;z-index:25166848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" fillcolor="yellow" strokeweight=".26mm">
                <v:stroke endcap="square"/>
                <w10:wrap type="topAndBottom" anchorx="margin"/>
              </v:rect>
            </w:pict>
          </mc:Fallback>
        </mc:AlternateContent>
      </w:r>
    </w:p>
    <w:p w14:paraId="715DE7C8" w14:textId="308F2F0E" w:rsidR="005F0BB2" w:rsidRPr="00F77B86" w:rsidRDefault="00301139" w:rsidP="00E61226">
      <w:pPr>
        <w:jc w:val="both"/>
        <w:rPr>
          <w:b/>
          <w:sz w:val="24"/>
        </w:rPr>
      </w:pPr>
      <w:r>
        <w:rPr>
          <w:b/>
          <w:sz w:val="24"/>
        </w:rPr>
        <w:t>Podstawy enzymologii klinicznej</w:t>
      </w:r>
    </w:p>
    <w:p w14:paraId="3A91D58C" w14:textId="3FBBF74C" w:rsidR="005F0BB2" w:rsidRDefault="005F0BB2" w:rsidP="00E61226">
      <w:pPr>
        <w:jc w:val="both"/>
      </w:pPr>
      <w:r w:rsidRPr="005F0BB2">
        <w:t>Zakres teoretyczny:</w:t>
      </w:r>
    </w:p>
    <w:p w14:paraId="27423AEB" w14:textId="29BDA6A4" w:rsidR="00002E9A" w:rsidRDefault="00E26233" w:rsidP="00002E9A">
      <w:pPr>
        <w:jc w:val="both"/>
      </w:pPr>
      <w:r>
        <w:t>D</w:t>
      </w:r>
      <w:r w:rsidR="00E61226" w:rsidRPr="00E61226">
        <w:t xml:space="preserve">efinicja enzymu, znaczenie oznaczania enzymów w diagnostyce laboratoryjnej, podział enzymów pod kątem klinicznym, przyczyny zmian w stężeniach enzymów we krwi pacjentów, profile enzymatyczne tkanek, wpływ uszkodzenia komórek na zmianę aktywności enzymów krążących we krwi, izoenzymy (definicja i przykłady), charakterystyka enzymów takich jak: lipaza, amylaza, fosfataza alkaliczna, fosfataza kwaśna, gamma- </w:t>
      </w:r>
      <w:proofErr w:type="spellStart"/>
      <w:r w:rsidR="00E61226" w:rsidRPr="00E61226">
        <w:t>glutamylotransferaza</w:t>
      </w:r>
      <w:proofErr w:type="spellEnd"/>
      <w:r w:rsidR="0025000A">
        <w:t xml:space="preserve">, </w:t>
      </w:r>
      <w:proofErr w:type="spellStart"/>
      <w:r w:rsidR="0025000A">
        <w:t>elastaza</w:t>
      </w:r>
      <w:proofErr w:type="spellEnd"/>
      <w:r w:rsidR="00E61226" w:rsidRPr="00E61226">
        <w:t>.</w:t>
      </w:r>
      <w:r w:rsidR="0075083B">
        <w:t xml:space="preserve"> </w:t>
      </w:r>
    </w:p>
    <w:p w14:paraId="6BAE9C3F" w14:textId="77777777" w:rsidR="00002E9A" w:rsidRDefault="00002E9A" w:rsidP="00002E9A">
      <w:pPr>
        <w:jc w:val="both"/>
      </w:pPr>
    </w:p>
    <w:p w14:paraId="2F142141" w14:textId="7BE20A9A" w:rsidR="00002E9A" w:rsidRPr="00002E9A" w:rsidRDefault="00002E9A" w:rsidP="00002E9A">
      <w:pPr>
        <w:jc w:val="both"/>
        <w:rPr>
          <w:b/>
        </w:rPr>
      </w:pPr>
      <w:r w:rsidRPr="00002E9A">
        <w:rPr>
          <w:b/>
        </w:rPr>
        <w:t xml:space="preserve">Wykrywanie swoistych </w:t>
      </w:r>
      <w:proofErr w:type="spellStart"/>
      <w:r w:rsidRPr="00002E9A">
        <w:rPr>
          <w:b/>
        </w:rPr>
        <w:t>IgE</w:t>
      </w:r>
      <w:proofErr w:type="spellEnd"/>
      <w:r w:rsidRPr="00002E9A">
        <w:rPr>
          <w:b/>
        </w:rPr>
        <w:t xml:space="preserve"> w surowicy pacjentów podejrzanych o alergię pokarmową w oparciu o test EUROLINE Profil Pokarmowy „Nabiał i Orzechy” (</w:t>
      </w:r>
      <w:proofErr w:type="spellStart"/>
      <w:r w:rsidRPr="00002E9A">
        <w:rPr>
          <w:b/>
        </w:rPr>
        <w:t>IgE</w:t>
      </w:r>
      <w:proofErr w:type="spellEnd"/>
      <w:r w:rsidRPr="00002E9A">
        <w:rPr>
          <w:b/>
        </w:rPr>
        <w:t>)</w:t>
      </w:r>
    </w:p>
    <w:p w14:paraId="324C8D1C" w14:textId="79E5ECBB" w:rsidR="00002E9A" w:rsidRPr="00002E9A" w:rsidRDefault="006703F9" w:rsidP="00002E9A">
      <w:pPr>
        <w:jc w:val="both"/>
      </w:pPr>
      <w:r w:rsidRPr="005F0BB2">
        <w:t>Zakres teoretyczny:</w:t>
      </w:r>
    </w:p>
    <w:p w14:paraId="2D2636AB" w14:textId="0AEF17FD" w:rsidR="00002E9A" w:rsidRPr="00002E9A" w:rsidRDefault="00002E9A" w:rsidP="00002E9A">
      <w:pPr>
        <w:jc w:val="both"/>
      </w:pPr>
      <w:r w:rsidRPr="00002E9A">
        <w:lastRenderedPageBreak/>
        <w:t xml:space="preserve">Definicja alergii i alergenu. Najpopularniejsze alergeny. </w:t>
      </w:r>
      <w:proofErr w:type="spellStart"/>
      <w:r w:rsidRPr="00002E9A">
        <w:t>Panalergeny</w:t>
      </w:r>
      <w:proofErr w:type="spellEnd"/>
      <w:r w:rsidRPr="00002E9A">
        <w:t>. Alergia na leki. Jak organizm reaguje na alergeny. Fazy odpowiedzi na alergen (wczesna i późna). Reakcje krzyżowe. Najczęstsze choroby alergiczne. Sposoby rozpoznawania alergii. Immunoglobuliny typu E (</w:t>
      </w:r>
      <w:proofErr w:type="spellStart"/>
      <w:r w:rsidRPr="00002E9A">
        <w:t>IgE</w:t>
      </w:r>
      <w:proofErr w:type="spellEnd"/>
      <w:r w:rsidRPr="00002E9A">
        <w:t>). Badania laboratoryjne, oznaczanie stężenia swoistych immunoglobulin E w surowicy krwi (</w:t>
      </w:r>
      <w:proofErr w:type="spellStart"/>
      <w:r w:rsidRPr="00002E9A">
        <w:t>IgE</w:t>
      </w:r>
      <w:proofErr w:type="spellEnd"/>
      <w:r w:rsidRPr="00002E9A">
        <w:t>). Wstrząs anafilaktyczny - objawy, przyczyny i leczenie. Diagnostyka molekularna alergii oparta na molekularnej strukturze alergenów, CRD (ang. component-</w:t>
      </w:r>
      <w:proofErr w:type="spellStart"/>
      <w:r w:rsidRPr="00002E9A">
        <w:t>resolved</w:t>
      </w:r>
      <w:proofErr w:type="spellEnd"/>
      <w:r w:rsidRPr="00002E9A">
        <w:t xml:space="preserve"> diagnostics). Zminiaturyzowane panele alergenów molekularnych do oznaczenia </w:t>
      </w:r>
      <w:proofErr w:type="spellStart"/>
      <w:r w:rsidRPr="00002E9A">
        <w:t>alergenowo-specyficznej</w:t>
      </w:r>
      <w:proofErr w:type="spellEnd"/>
      <w:r w:rsidRPr="00002E9A">
        <w:t xml:space="preserve"> </w:t>
      </w:r>
      <w:proofErr w:type="spellStart"/>
      <w:r w:rsidRPr="00002E9A">
        <w:t>IgE</w:t>
      </w:r>
      <w:proofErr w:type="spellEnd"/>
      <w:r w:rsidRPr="00002E9A">
        <w:t xml:space="preserve"> in vitro, test BAT (</w:t>
      </w:r>
      <w:r>
        <w:t xml:space="preserve">ang. </w:t>
      </w:r>
      <w:proofErr w:type="spellStart"/>
      <w:r>
        <w:t>basophil</w:t>
      </w:r>
      <w:proofErr w:type="spellEnd"/>
      <w:r>
        <w:t xml:space="preserve"> </w:t>
      </w:r>
      <w:proofErr w:type="spellStart"/>
      <w:r>
        <w:t>activation</w:t>
      </w:r>
      <w:proofErr w:type="spellEnd"/>
      <w:r>
        <w:t xml:space="preserve"> test).</w:t>
      </w:r>
    </w:p>
    <w:p w14:paraId="1F81BB3E" w14:textId="37E5980B" w:rsidR="00002E9A" w:rsidRPr="00002E9A" w:rsidRDefault="00002E9A" w:rsidP="00002E9A">
      <w:pPr>
        <w:jc w:val="both"/>
      </w:pPr>
      <w:r w:rsidRPr="00002E9A">
        <w:t>Materiały</w:t>
      </w:r>
      <w:r w:rsidR="007A0D39">
        <w:t xml:space="preserve"> dodatkowe</w:t>
      </w:r>
      <w:r w:rsidRPr="00002E9A">
        <w:t>:</w:t>
      </w:r>
    </w:p>
    <w:p w14:paraId="438373FF" w14:textId="3DA10358" w:rsidR="00002E9A" w:rsidRPr="00134B30" w:rsidRDefault="00134B30" w:rsidP="00002E9A">
      <w:pPr>
        <w:ind w:left="708"/>
        <w:jc w:val="both"/>
      </w:pPr>
      <w:r>
        <w:t>Instrukcja testu pdf. udostępniona na stronie Zakładu.</w:t>
      </w:r>
    </w:p>
    <w:p w14:paraId="0E34DF7F" w14:textId="7209E220" w:rsidR="00E61226" w:rsidRPr="00134B30" w:rsidRDefault="00E61226" w:rsidP="00E61226">
      <w:pPr>
        <w:jc w:val="both"/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CA216" wp14:editId="4D72DBA4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485775" cy="180340"/>
                <wp:effectExtent l="0" t="0" r="28575" b="10160"/>
                <wp:wrapTopAndBottom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8C445" id="Prostokąt 8" o:spid="_x0000_s1026" style="position:absolute;margin-left:0;margin-top:19.25pt;width:38.25pt;height:14.2pt;z-index:251670528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" fillcolor="#ed7d31 [3205]" strokeweight=".26mm">
                <v:stroke endcap="square"/>
                <w10:wrap type="topAndBottom" anchorx="margin"/>
              </v:rect>
            </w:pict>
          </mc:Fallback>
        </mc:AlternateContent>
      </w:r>
    </w:p>
    <w:p w14:paraId="1D6EB82C" w14:textId="77777777" w:rsidR="005F0BB2" w:rsidRPr="00F77B86" w:rsidRDefault="005F0BB2" w:rsidP="00E61226">
      <w:pPr>
        <w:jc w:val="both"/>
        <w:rPr>
          <w:b/>
          <w:sz w:val="24"/>
        </w:rPr>
      </w:pPr>
      <w:r w:rsidRPr="00F77B86">
        <w:rPr>
          <w:b/>
          <w:sz w:val="24"/>
        </w:rPr>
        <w:t>Terapia monitorowana.</w:t>
      </w:r>
    </w:p>
    <w:p w14:paraId="3B9C29D4" w14:textId="77777777" w:rsidR="005F0BB2" w:rsidRPr="005F0BB2" w:rsidRDefault="005F0BB2" w:rsidP="00E61226">
      <w:pPr>
        <w:jc w:val="both"/>
      </w:pPr>
      <w:r w:rsidRPr="005F0BB2">
        <w:t>Zakres teoretyczny:</w:t>
      </w:r>
    </w:p>
    <w:p w14:paraId="6AD944C7" w14:textId="32ED8E91" w:rsidR="0025000A" w:rsidRPr="005F0BB2" w:rsidRDefault="005A76A7" w:rsidP="00E61226">
      <w:pPr>
        <w:jc w:val="both"/>
      </w:pPr>
      <w:r>
        <w:t>Przemiany leku w organizmie, kryteria warunkujące terapeutyczne monitorowanie leków (TDM), interpretacja i wykorzystanie wyników w TDM; przykłady leków, których stężenie we krwi jest monitorowane</w:t>
      </w:r>
    </w:p>
    <w:p w14:paraId="4A05AB3A" w14:textId="77777777" w:rsidR="00F77B86" w:rsidRDefault="00F77B86" w:rsidP="00E61226">
      <w:pPr>
        <w:jc w:val="both"/>
        <w:rPr>
          <w:sz w:val="24"/>
        </w:rPr>
      </w:pPr>
      <w:r>
        <w:rPr>
          <w:noProof/>
          <w:sz w:val="24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60FE84" wp14:editId="0610E2ED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485775" cy="180340"/>
                <wp:effectExtent l="0" t="0" r="28575" b="10160"/>
                <wp:wrapTopAndBottom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803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35614" id="Prostokąt 9" o:spid="_x0000_s1026" style="position:absolute;margin-left:0;margin-top:23.75pt;width:38.25pt;height:14.2pt;z-index:2516725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" fillcolor="#00b050" strokeweight=".26mm">
                <v:stroke endcap="square"/>
                <w10:wrap type="topAndBottom" anchorx="margin"/>
              </v:rect>
            </w:pict>
          </mc:Fallback>
        </mc:AlternateContent>
      </w:r>
    </w:p>
    <w:p w14:paraId="5686BE4A" w14:textId="77777777" w:rsidR="005F0BB2" w:rsidRDefault="00F77B86" w:rsidP="00E61226">
      <w:pPr>
        <w:jc w:val="both"/>
        <w:rPr>
          <w:b/>
          <w:sz w:val="24"/>
        </w:rPr>
      </w:pPr>
      <w:r w:rsidRPr="00B0025B">
        <w:rPr>
          <w:b/>
          <w:sz w:val="24"/>
        </w:rPr>
        <w:t>Diagnostyka zaburzeń krzepnięcia</w:t>
      </w:r>
    </w:p>
    <w:p w14:paraId="0A3EFE25" w14:textId="77777777" w:rsidR="003160A4" w:rsidRPr="003160A4" w:rsidRDefault="003160A4" w:rsidP="00E61226">
      <w:pPr>
        <w:jc w:val="both"/>
      </w:pPr>
      <w:r w:rsidRPr="003160A4">
        <w:t>Zakres teoretyczny:</w:t>
      </w:r>
    </w:p>
    <w:p w14:paraId="2DA87C14" w14:textId="77777777" w:rsidR="003160A4" w:rsidRPr="003160A4" w:rsidRDefault="003160A4" w:rsidP="00E61226">
      <w:pPr>
        <w:jc w:val="both"/>
      </w:pPr>
      <w:r w:rsidRPr="003160A4">
        <w:t xml:space="preserve">Rola płytek krwi w procesie krzepnięcia krwi, skazy płytkowe, małopłytkowość i </w:t>
      </w:r>
      <w:proofErr w:type="spellStart"/>
      <w:r w:rsidRPr="003160A4">
        <w:t>nadpłytkowość</w:t>
      </w:r>
      <w:proofErr w:type="spellEnd"/>
      <w:r w:rsidRPr="003160A4">
        <w:t xml:space="preserve"> przyczyny. Udział zewnątrzpochodnego i wewnątrzpochodnego szlaku w procesie krzepnięcia. Wpływ heparyny, antagonistów witaminy K, kwasu acetylosalicylowego na proces krzepnięcia krwi. Skazy osoczowe wrodzone i nabyte. Fibrynoliza aktywatory i inhibitory procesu. </w:t>
      </w:r>
      <w:proofErr w:type="spellStart"/>
      <w:r w:rsidRPr="003160A4">
        <w:t>Trombofilia</w:t>
      </w:r>
      <w:proofErr w:type="spellEnd"/>
      <w:r w:rsidRPr="003160A4">
        <w:t xml:space="preserve"> definicja i najczęstsze przyczyny.</w:t>
      </w:r>
    </w:p>
    <w:sectPr w:rsidR="003160A4" w:rsidRPr="003160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AD9F7" w14:textId="77777777" w:rsidR="00627AA6" w:rsidRDefault="00627AA6" w:rsidP="00481CFB">
      <w:pPr>
        <w:spacing w:after="0" w:line="240" w:lineRule="auto"/>
      </w:pPr>
      <w:r>
        <w:separator/>
      </w:r>
    </w:p>
  </w:endnote>
  <w:endnote w:type="continuationSeparator" w:id="0">
    <w:p w14:paraId="0D2A2C08" w14:textId="77777777" w:rsidR="00627AA6" w:rsidRDefault="00627AA6" w:rsidP="0048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243DF" w14:textId="77777777" w:rsidR="00627AA6" w:rsidRDefault="00627AA6" w:rsidP="00481CFB">
      <w:pPr>
        <w:spacing w:after="0" w:line="240" w:lineRule="auto"/>
      </w:pPr>
      <w:r>
        <w:separator/>
      </w:r>
    </w:p>
  </w:footnote>
  <w:footnote w:type="continuationSeparator" w:id="0">
    <w:p w14:paraId="3A72930A" w14:textId="77777777" w:rsidR="00627AA6" w:rsidRDefault="00627AA6" w:rsidP="0048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62E0" w14:textId="49012A89" w:rsidR="00481CFB" w:rsidRPr="00481CFB" w:rsidRDefault="00481CFB" w:rsidP="00481CFB">
    <w:pPr>
      <w:pStyle w:val="Nagwek"/>
      <w:jc w:val="center"/>
      <w:rPr>
        <w:b/>
        <w:sz w:val="28"/>
      </w:rPr>
    </w:pPr>
    <w:r w:rsidRPr="00481CFB">
      <w:rPr>
        <w:b/>
        <w:sz w:val="28"/>
      </w:rPr>
      <w:t xml:space="preserve">Analityka Medyczna III rok , Biochemia Kliniczna, zakres materiału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22DE9"/>
    <w:multiLevelType w:val="hybridMultilevel"/>
    <w:tmpl w:val="5016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1E7"/>
    <w:rsid w:val="00002E9A"/>
    <w:rsid w:val="00007C89"/>
    <w:rsid w:val="00041B21"/>
    <w:rsid w:val="000D766A"/>
    <w:rsid w:val="00134B30"/>
    <w:rsid w:val="00154226"/>
    <w:rsid w:val="00191A6C"/>
    <w:rsid w:val="001C75F1"/>
    <w:rsid w:val="001D4E34"/>
    <w:rsid w:val="002135B0"/>
    <w:rsid w:val="0025000A"/>
    <w:rsid w:val="002D7074"/>
    <w:rsid w:val="00301139"/>
    <w:rsid w:val="00303492"/>
    <w:rsid w:val="003160A4"/>
    <w:rsid w:val="00331A9D"/>
    <w:rsid w:val="00364046"/>
    <w:rsid w:val="0037319C"/>
    <w:rsid w:val="00435622"/>
    <w:rsid w:val="00481CFB"/>
    <w:rsid w:val="004821B3"/>
    <w:rsid w:val="004A3162"/>
    <w:rsid w:val="004F71D2"/>
    <w:rsid w:val="00545162"/>
    <w:rsid w:val="00566DF4"/>
    <w:rsid w:val="00581F41"/>
    <w:rsid w:val="005A76A7"/>
    <w:rsid w:val="005B649C"/>
    <w:rsid w:val="005F0BB2"/>
    <w:rsid w:val="00620960"/>
    <w:rsid w:val="00627AA6"/>
    <w:rsid w:val="006703F9"/>
    <w:rsid w:val="006E1526"/>
    <w:rsid w:val="0075083B"/>
    <w:rsid w:val="00776767"/>
    <w:rsid w:val="007A0D39"/>
    <w:rsid w:val="00856FEC"/>
    <w:rsid w:val="00904B6D"/>
    <w:rsid w:val="00906030"/>
    <w:rsid w:val="00947CE9"/>
    <w:rsid w:val="00983F15"/>
    <w:rsid w:val="009B4E26"/>
    <w:rsid w:val="009D2C53"/>
    <w:rsid w:val="009D6353"/>
    <w:rsid w:val="00A26B8C"/>
    <w:rsid w:val="00A6438D"/>
    <w:rsid w:val="00A77E26"/>
    <w:rsid w:val="00A93685"/>
    <w:rsid w:val="00AF03F9"/>
    <w:rsid w:val="00B0025B"/>
    <w:rsid w:val="00B825DC"/>
    <w:rsid w:val="00BB23E4"/>
    <w:rsid w:val="00C509E3"/>
    <w:rsid w:val="00D132E0"/>
    <w:rsid w:val="00DC43EB"/>
    <w:rsid w:val="00E26233"/>
    <w:rsid w:val="00E5323B"/>
    <w:rsid w:val="00E61226"/>
    <w:rsid w:val="00E8000A"/>
    <w:rsid w:val="00E81724"/>
    <w:rsid w:val="00E873DC"/>
    <w:rsid w:val="00ED3207"/>
    <w:rsid w:val="00F31ABA"/>
    <w:rsid w:val="00F51A2E"/>
    <w:rsid w:val="00F77B86"/>
    <w:rsid w:val="00FA553A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27A6"/>
  <w15:docId w15:val="{7DA8DA38-6DEE-42E7-8CEC-26122C72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73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1CFB"/>
  </w:style>
  <w:style w:type="paragraph" w:styleId="Stopka">
    <w:name w:val="footer"/>
    <w:basedOn w:val="Normalny"/>
    <w:link w:val="StopkaZnak"/>
    <w:uiPriority w:val="99"/>
    <w:unhideWhenUsed/>
    <w:rsid w:val="0048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1CFB"/>
  </w:style>
  <w:style w:type="character" w:styleId="HTML-cytat">
    <w:name w:val="HTML Cite"/>
    <w:basedOn w:val="Domylnaczcionkaakapitu"/>
    <w:uiPriority w:val="99"/>
    <w:semiHidden/>
    <w:unhideWhenUsed/>
    <w:rsid w:val="009D635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37319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02E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72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8650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1829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50328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Szmajda</dc:creator>
  <cp:lastModifiedBy>Dagmara Szmajda-Krygier</cp:lastModifiedBy>
  <cp:revision>2</cp:revision>
  <dcterms:created xsi:type="dcterms:W3CDTF">2026-02-16T12:31:00Z</dcterms:created>
  <dcterms:modified xsi:type="dcterms:W3CDTF">2026-02-16T12:31:00Z</dcterms:modified>
</cp:coreProperties>
</file>