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DAA6" w14:textId="5E32F3F2" w:rsidR="00202D9D" w:rsidRPr="00202D9D" w:rsidRDefault="00202D9D" w:rsidP="00202D9D">
      <w:pPr>
        <w:spacing w:line="360" w:lineRule="auto"/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t xml:space="preserve">Biochemia Kliniczna </w:t>
      </w:r>
      <w:r w:rsidRPr="00202D9D">
        <w:rPr>
          <w:rFonts w:ascii="Calibri" w:eastAsia="Calibri" w:hAnsi="Calibri" w:cs="Times New Roman"/>
          <w:b/>
          <w:kern w:val="0"/>
          <w14:ligatures w14:val="none"/>
        </w:rPr>
        <w:t>SEMINARIA Czwartki 14:00-17:45 sale 214 215</w:t>
      </w:r>
    </w:p>
    <w:tbl>
      <w:tblPr>
        <w:tblStyle w:val="Tabela-Siatka1"/>
        <w:tblW w:w="578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2"/>
        <w:gridCol w:w="4535"/>
        <w:gridCol w:w="4392"/>
      </w:tblGrid>
      <w:tr w:rsidR="00202D9D" w:rsidRPr="00202D9D" w14:paraId="1D0A55DF" w14:textId="77777777" w:rsidTr="00202D9D">
        <w:trPr>
          <w:trHeight w:val="408"/>
        </w:trPr>
        <w:tc>
          <w:tcPr>
            <w:tcW w:w="338" w:type="pct"/>
            <w:vMerge w:val="restart"/>
            <w:vAlign w:val="center"/>
          </w:tcPr>
          <w:p w14:paraId="62900192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202D9D">
              <w:rPr>
                <w:rFonts w:ascii="Calibri" w:eastAsia="Calibri" w:hAnsi="Calibri" w:cs="Times New Roman"/>
                <w:sz w:val="28"/>
              </w:rPr>
              <w:t>Lp.</w:t>
            </w:r>
          </w:p>
        </w:tc>
        <w:tc>
          <w:tcPr>
            <w:tcW w:w="406" w:type="pct"/>
            <w:vMerge w:val="restart"/>
            <w:vAlign w:val="center"/>
          </w:tcPr>
          <w:p w14:paraId="49993433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  <w:r w:rsidRPr="00202D9D">
              <w:rPr>
                <w:rFonts w:ascii="Calibri" w:eastAsia="Calibri" w:hAnsi="Calibri" w:cs="Times New Roman"/>
                <w:sz w:val="28"/>
              </w:rPr>
              <w:t>Data</w:t>
            </w:r>
          </w:p>
          <w:p w14:paraId="15747387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2162" w:type="pct"/>
          </w:tcPr>
          <w:p w14:paraId="2F80C435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2094" w:type="pct"/>
            <w:vAlign w:val="center"/>
          </w:tcPr>
          <w:p w14:paraId="79F3E7A3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202D9D" w:rsidRPr="00202D9D" w14:paraId="05A4589E" w14:textId="77777777" w:rsidTr="00202D9D">
        <w:trPr>
          <w:trHeight w:val="413"/>
        </w:trPr>
        <w:tc>
          <w:tcPr>
            <w:tcW w:w="338" w:type="pct"/>
            <w:vMerge/>
            <w:vAlign w:val="center"/>
          </w:tcPr>
          <w:p w14:paraId="308D1704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406" w:type="pct"/>
            <w:vMerge/>
            <w:vAlign w:val="center"/>
          </w:tcPr>
          <w:p w14:paraId="2FB8C77A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</w:rPr>
            </w:pPr>
          </w:p>
        </w:tc>
        <w:tc>
          <w:tcPr>
            <w:tcW w:w="2162" w:type="pct"/>
            <w:vAlign w:val="center"/>
          </w:tcPr>
          <w:p w14:paraId="5EC950AF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2D9D">
              <w:rPr>
                <w:rFonts w:ascii="Calibri" w:eastAsia="Calibri" w:hAnsi="Calibri" w:cs="Times New Roman"/>
                <w:sz w:val="28"/>
                <w:szCs w:val="28"/>
              </w:rPr>
              <w:t xml:space="preserve">1 grupa seminaryjna </w:t>
            </w:r>
            <w:r w:rsidRPr="00202D9D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sala 214</w:t>
            </w:r>
          </w:p>
        </w:tc>
        <w:tc>
          <w:tcPr>
            <w:tcW w:w="2094" w:type="pct"/>
            <w:vAlign w:val="center"/>
          </w:tcPr>
          <w:p w14:paraId="6C2940B5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2D9D">
              <w:rPr>
                <w:rFonts w:ascii="Calibri" w:eastAsia="Calibri" w:hAnsi="Calibri" w:cs="Times New Roman"/>
                <w:sz w:val="28"/>
                <w:szCs w:val="28"/>
              </w:rPr>
              <w:t xml:space="preserve">2 grupa seminaryjna </w:t>
            </w:r>
            <w:r w:rsidRPr="00202D9D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sala 215</w:t>
            </w:r>
          </w:p>
        </w:tc>
      </w:tr>
      <w:tr w:rsidR="00202D9D" w:rsidRPr="00202D9D" w14:paraId="0A01F15D" w14:textId="77777777" w:rsidTr="00202D9D">
        <w:trPr>
          <w:trHeight w:val="278"/>
        </w:trPr>
        <w:tc>
          <w:tcPr>
            <w:tcW w:w="338" w:type="pct"/>
            <w:vMerge/>
            <w:vAlign w:val="center"/>
          </w:tcPr>
          <w:p w14:paraId="0CE8586E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6" w:type="pct"/>
            <w:vMerge/>
            <w:vAlign w:val="center"/>
          </w:tcPr>
          <w:p w14:paraId="48951BD3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62" w:type="pct"/>
            <w:vAlign w:val="center"/>
          </w:tcPr>
          <w:p w14:paraId="1B593968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94" w:type="pct"/>
            <w:vAlign w:val="center"/>
          </w:tcPr>
          <w:p w14:paraId="48FC16C2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02D9D" w:rsidRPr="00202D9D" w14:paraId="72CFFAB2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07952AF2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06" w:type="pct"/>
            <w:vAlign w:val="center"/>
          </w:tcPr>
          <w:p w14:paraId="009D3533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12.03</w:t>
            </w:r>
          </w:p>
        </w:tc>
        <w:tc>
          <w:tcPr>
            <w:tcW w:w="2162" w:type="pct"/>
            <w:shd w:val="clear" w:color="auto" w:fill="92D050"/>
            <w:vAlign w:val="center"/>
          </w:tcPr>
          <w:p w14:paraId="2A0E8A3E" w14:textId="2C931E6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Odrębności diagnostyczne wieku dziecięcego i podeszłego </w:t>
            </w:r>
            <w:r w:rsidRPr="00202D9D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2094" w:type="pct"/>
            <w:shd w:val="clear" w:color="auto" w:fill="FBE4D5"/>
            <w:vAlign w:val="center"/>
          </w:tcPr>
          <w:p w14:paraId="0ADA4684" w14:textId="23F03EC4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Diagnostyka laboratoryjna w zaburzeniach ilościowych witamin i składników mineralnych </w:t>
            </w:r>
          </w:p>
        </w:tc>
      </w:tr>
      <w:tr w:rsidR="00202D9D" w:rsidRPr="00202D9D" w14:paraId="630D8E14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2FD184D3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06" w:type="pct"/>
            <w:vAlign w:val="center"/>
          </w:tcPr>
          <w:p w14:paraId="13E16227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19.03</w:t>
            </w:r>
          </w:p>
        </w:tc>
        <w:tc>
          <w:tcPr>
            <w:tcW w:w="2162" w:type="pct"/>
            <w:shd w:val="clear" w:color="auto" w:fill="FBE4D5"/>
            <w:vAlign w:val="center"/>
          </w:tcPr>
          <w:p w14:paraId="487F414B" w14:textId="11902538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</w:rPr>
              <w:t xml:space="preserve">Diagnostyka laboratoryjna w zaburzeniach ilościowych witamin i składników mineralnych </w:t>
            </w:r>
          </w:p>
        </w:tc>
        <w:tc>
          <w:tcPr>
            <w:tcW w:w="2094" w:type="pct"/>
            <w:shd w:val="clear" w:color="auto" w:fill="92D050"/>
            <w:vAlign w:val="center"/>
          </w:tcPr>
          <w:p w14:paraId="54F8ACE4" w14:textId="4BDCEB4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>Odrębności diagnostyczne wieku dziecięcego i podeszłego</w:t>
            </w:r>
            <w:r w:rsidRPr="00202D9D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</w:tr>
      <w:tr w:rsidR="00202D9D" w:rsidRPr="00202D9D" w14:paraId="7A146F90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1A107AA5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06" w:type="pct"/>
            <w:vAlign w:val="center"/>
          </w:tcPr>
          <w:p w14:paraId="053DDC91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26.03</w:t>
            </w:r>
          </w:p>
        </w:tc>
        <w:tc>
          <w:tcPr>
            <w:tcW w:w="2162" w:type="pct"/>
            <w:shd w:val="clear" w:color="auto" w:fill="ED7D31"/>
            <w:vAlign w:val="center"/>
          </w:tcPr>
          <w:p w14:paraId="31436B3D" w14:textId="702EAD80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>Diagnostyka laboratoryjna zaburzeń lipidowych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  <w:tc>
          <w:tcPr>
            <w:tcW w:w="2094" w:type="pct"/>
            <w:shd w:val="clear" w:color="auto" w:fill="ACB9CA"/>
            <w:vAlign w:val="center"/>
          </w:tcPr>
          <w:p w14:paraId="0275BE5C" w14:textId="1C615861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Wapń, fosfor, magnez. Diagnostyka chorób metabolicznych tkanki kostnej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3h </w:t>
            </w:r>
            <w:r w:rsidRPr="00202D9D">
              <w:rPr>
                <w:rFonts w:ascii="Calibri" w:eastAsia="Calibri" w:hAnsi="Calibri" w:cs="Times New Roman"/>
              </w:rPr>
              <w:t>Odrębności diagnostyczne w ciąży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2h </w:t>
            </w:r>
          </w:p>
        </w:tc>
      </w:tr>
      <w:tr w:rsidR="00202D9D" w:rsidRPr="00202D9D" w14:paraId="3FD5866A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7D08E497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06" w:type="pct"/>
            <w:vAlign w:val="center"/>
          </w:tcPr>
          <w:p w14:paraId="593680BF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9.04</w:t>
            </w:r>
          </w:p>
        </w:tc>
        <w:tc>
          <w:tcPr>
            <w:tcW w:w="2162" w:type="pct"/>
            <w:shd w:val="clear" w:color="auto" w:fill="A8D08D"/>
            <w:vAlign w:val="center"/>
          </w:tcPr>
          <w:p w14:paraId="1AF5FE06" w14:textId="4F3B2C8E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Choroby nerek i układu moczowego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  <w:tc>
          <w:tcPr>
            <w:tcW w:w="2094" w:type="pct"/>
            <w:shd w:val="clear" w:color="auto" w:fill="ED7D31"/>
            <w:vAlign w:val="center"/>
          </w:tcPr>
          <w:p w14:paraId="6A1EEF77" w14:textId="40A28D09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>Diagnostyka laboratoryjna zaburzeń lipidowych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  <w:tr w:rsidR="00202D9D" w:rsidRPr="00202D9D" w14:paraId="113B0A02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7D9276B5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06" w:type="pct"/>
            <w:vAlign w:val="center"/>
          </w:tcPr>
          <w:p w14:paraId="76E0F4A9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16.04</w:t>
            </w:r>
          </w:p>
        </w:tc>
        <w:tc>
          <w:tcPr>
            <w:tcW w:w="2162" w:type="pct"/>
            <w:shd w:val="clear" w:color="auto" w:fill="FFE599"/>
            <w:vAlign w:val="center"/>
          </w:tcPr>
          <w:p w14:paraId="2F1701CA" w14:textId="0E67475E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Gospodarka RKZ i WE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>3h</w:t>
            </w:r>
            <w:r w:rsidRPr="00202D9D">
              <w:rPr>
                <w:rFonts w:ascii="Calibri" w:eastAsia="Calibri" w:hAnsi="Calibri" w:cs="Times New Roman"/>
              </w:rPr>
              <w:t xml:space="preserve">/choroby układu pokarmowego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2h </w:t>
            </w:r>
          </w:p>
        </w:tc>
        <w:tc>
          <w:tcPr>
            <w:tcW w:w="2094" w:type="pct"/>
            <w:shd w:val="clear" w:color="auto" w:fill="A8D08D"/>
            <w:vAlign w:val="center"/>
          </w:tcPr>
          <w:p w14:paraId="20AC68BE" w14:textId="7853CBF8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>Choroby nerek i układu moczowego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  <w:tr w:rsidR="00202D9D" w:rsidRPr="00202D9D" w14:paraId="76263199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20FB9F0F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06" w:type="pct"/>
            <w:vAlign w:val="center"/>
          </w:tcPr>
          <w:p w14:paraId="7011BBFE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23.04</w:t>
            </w:r>
          </w:p>
        </w:tc>
        <w:tc>
          <w:tcPr>
            <w:tcW w:w="2162" w:type="pct"/>
            <w:shd w:val="clear" w:color="auto" w:fill="00B0F0"/>
            <w:vAlign w:val="center"/>
          </w:tcPr>
          <w:p w14:paraId="7365EC4B" w14:textId="218968DD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Cukrzyca i </w:t>
            </w:r>
            <w:proofErr w:type="spellStart"/>
            <w:r w:rsidRPr="00202D9D">
              <w:rPr>
                <w:rFonts w:ascii="Calibri" w:eastAsia="Calibri" w:hAnsi="Calibri" w:cs="Times New Roman"/>
              </w:rPr>
              <w:t>glikogenozy</w:t>
            </w:r>
            <w:proofErr w:type="spellEnd"/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  <w:tc>
          <w:tcPr>
            <w:tcW w:w="2094" w:type="pct"/>
            <w:shd w:val="clear" w:color="auto" w:fill="FFE599"/>
            <w:vAlign w:val="center"/>
          </w:tcPr>
          <w:p w14:paraId="2826DE2D" w14:textId="552B5CD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Gospodarka RKZ i WE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>3h</w:t>
            </w:r>
            <w:r w:rsidRPr="00202D9D">
              <w:rPr>
                <w:rFonts w:ascii="Calibri" w:eastAsia="Calibri" w:hAnsi="Calibri" w:cs="Times New Roman"/>
              </w:rPr>
              <w:t xml:space="preserve">/choroby układu pokarmowego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2h </w:t>
            </w:r>
          </w:p>
        </w:tc>
      </w:tr>
      <w:tr w:rsidR="00202D9D" w:rsidRPr="00202D9D" w14:paraId="4C8B7F91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32499ED6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406" w:type="pct"/>
            <w:vAlign w:val="center"/>
          </w:tcPr>
          <w:p w14:paraId="4D5F5314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7.05</w:t>
            </w:r>
          </w:p>
        </w:tc>
        <w:tc>
          <w:tcPr>
            <w:tcW w:w="2162" w:type="pct"/>
            <w:shd w:val="clear" w:color="auto" w:fill="8496B0"/>
            <w:vAlign w:val="center"/>
          </w:tcPr>
          <w:p w14:paraId="5D031036" w14:textId="6D212E73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</w:rPr>
              <w:t xml:space="preserve">Wapń, fosfor, magnez. Diagnostyka chorób metabolicznych tkanki kostnej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3h </w:t>
            </w:r>
            <w:r w:rsidRPr="00202D9D">
              <w:rPr>
                <w:rFonts w:ascii="Calibri" w:eastAsia="Calibri" w:hAnsi="Calibri" w:cs="Times New Roman"/>
              </w:rPr>
              <w:t>Odrębności diagnostyczne w ciąży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2h </w:t>
            </w:r>
          </w:p>
        </w:tc>
        <w:tc>
          <w:tcPr>
            <w:tcW w:w="2094" w:type="pct"/>
            <w:shd w:val="clear" w:color="auto" w:fill="FF0000"/>
            <w:vAlign w:val="center"/>
          </w:tcPr>
          <w:p w14:paraId="5991E1AD" w14:textId="0FB17F10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Diagnostyka chorób wątroby i chorób zakaźnych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3h </w:t>
            </w:r>
            <w:r w:rsidRPr="00202D9D">
              <w:rPr>
                <w:rFonts w:ascii="Calibri" w:eastAsia="Calibri" w:hAnsi="Calibri" w:cs="Times New Roman"/>
                <w:bCs/>
              </w:rPr>
              <w:t xml:space="preserve">Terapia monitorowana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2h </w:t>
            </w:r>
          </w:p>
        </w:tc>
      </w:tr>
      <w:tr w:rsidR="00202D9D" w:rsidRPr="00202D9D" w14:paraId="27B305D5" w14:textId="77777777" w:rsidTr="00202D9D">
        <w:trPr>
          <w:trHeight w:val="794"/>
        </w:trPr>
        <w:tc>
          <w:tcPr>
            <w:tcW w:w="338" w:type="pct"/>
            <w:vAlign w:val="center"/>
          </w:tcPr>
          <w:p w14:paraId="1EA9AFBA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</w:rPr>
            </w:pPr>
            <w:r w:rsidRPr="00202D9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06" w:type="pct"/>
            <w:vAlign w:val="center"/>
          </w:tcPr>
          <w:p w14:paraId="6EC72213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202D9D">
              <w:rPr>
                <w:rFonts w:ascii="Calibri" w:eastAsia="Calibri" w:hAnsi="Calibri" w:cs="Times New Roman"/>
                <w:b/>
                <w:bCs/>
              </w:rPr>
              <w:t>14.05</w:t>
            </w:r>
          </w:p>
        </w:tc>
        <w:tc>
          <w:tcPr>
            <w:tcW w:w="2162" w:type="pct"/>
            <w:shd w:val="clear" w:color="auto" w:fill="FF0000"/>
            <w:vAlign w:val="center"/>
          </w:tcPr>
          <w:p w14:paraId="687312E2" w14:textId="0FD889DD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bookmarkStart w:id="0" w:name="_Hlk31620721"/>
            <w:r w:rsidRPr="00202D9D">
              <w:rPr>
                <w:rFonts w:ascii="Calibri" w:eastAsia="Calibri" w:hAnsi="Calibri" w:cs="Times New Roman"/>
              </w:rPr>
              <w:t xml:space="preserve">Diagnostyka chorób wątroby </w:t>
            </w:r>
            <w:bookmarkEnd w:id="0"/>
            <w:r w:rsidRPr="00202D9D">
              <w:rPr>
                <w:rFonts w:ascii="Calibri" w:eastAsia="Calibri" w:hAnsi="Calibri" w:cs="Times New Roman"/>
              </w:rPr>
              <w:t xml:space="preserve">i chorób zakaźnych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3h </w:t>
            </w:r>
            <w:r w:rsidRPr="00202D9D">
              <w:rPr>
                <w:rFonts w:ascii="Calibri" w:eastAsia="Calibri" w:hAnsi="Calibri" w:cs="Times New Roman"/>
                <w:bCs/>
              </w:rPr>
              <w:t xml:space="preserve">Terapia monitorowana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>2h</w:t>
            </w:r>
          </w:p>
          <w:p w14:paraId="21A85C2B" w14:textId="77777777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Uwaga s. 213!</w:t>
            </w:r>
          </w:p>
        </w:tc>
        <w:tc>
          <w:tcPr>
            <w:tcW w:w="2094" w:type="pct"/>
            <w:shd w:val="clear" w:color="auto" w:fill="00B0F0"/>
            <w:vAlign w:val="center"/>
          </w:tcPr>
          <w:p w14:paraId="52E49EF5" w14:textId="390263BC" w:rsidR="00202D9D" w:rsidRPr="00202D9D" w:rsidRDefault="00202D9D" w:rsidP="00202D9D">
            <w:pPr>
              <w:spacing w:line="259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02D9D">
              <w:rPr>
                <w:rFonts w:ascii="Calibri" w:eastAsia="Calibri" w:hAnsi="Calibri" w:cs="Times New Roman"/>
              </w:rPr>
              <w:t xml:space="preserve">Cukrzyca i </w:t>
            </w:r>
            <w:proofErr w:type="spellStart"/>
            <w:r w:rsidRPr="00202D9D">
              <w:rPr>
                <w:rFonts w:ascii="Calibri" w:eastAsia="Calibri" w:hAnsi="Calibri" w:cs="Times New Roman"/>
              </w:rPr>
              <w:t>glikogenozy</w:t>
            </w:r>
            <w:proofErr w:type="spellEnd"/>
            <w:r w:rsidRPr="00202D9D">
              <w:rPr>
                <w:rFonts w:ascii="Calibri" w:eastAsia="Calibri" w:hAnsi="Calibri" w:cs="Times New Roman"/>
              </w:rPr>
              <w:t xml:space="preserve"> </w:t>
            </w:r>
            <w:r w:rsidRPr="00202D9D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</w:tc>
      </w:tr>
    </w:tbl>
    <w:p w14:paraId="4E1886AC" w14:textId="77777777" w:rsidR="00B350D9" w:rsidRDefault="00B350D9"/>
    <w:sectPr w:rsidR="00B3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D"/>
    <w:rsid w:val="00202D9D"/>
    <w:rsid w:val="00544B1D"/>
    <w:rsid w:val="006B687C"/>
    <w:rsid w:val="009A2E8B"/>
    <w:rsid w:val="00AE42CF"/>
    <w:rsid w:val="00B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5680"/>
  <w15:chartTrackingRefBased/>
  <w15:docId w15:val="{4A2D9325-8007-4671-BE8A-D5292E37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D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D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D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D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D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D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D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D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D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D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D9D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202D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0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2</cp:revision>
  <dcterms:created xsi:type="dcterms:W3CDTF">2026-02-26T10:02:00Z</dcterms:created>
  <dcterms:modified xsi:type="dcterms:W3CDTF">2026-03-02T13:57:00Z</dcterms:modified>
</cp:coreProperties>
</file>