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B16EB" w14:textId="1451B956" w:rsidR="000E6969" w:rsidRPr="004B471C" w:rsidRDefault="006D2180" w:rsidP="006B09AB">
      <w:pPr>
        <w:spacing w:after="120" w:line="23" w:lineRule="atLeast"/>
        <w:jc w:val="center"/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t>Rok akademicki 202</w:t>
      </w:r>
      <w:r w:rsidR="00ED127C">
        <w:rPr>
          <w:rFonts w:cstheme="minorHAnsi"/>
          <w:b/>
          <w:sz w:val="28"/>
        </w:rPr>
        <w:t>6</w:t>
      </w:r>
      <w:r>
        <w:rPr>
          <w:rFonts w:cstheme="minorHAnsi"/>
          <w:b/>
          <w:sz w:val="28"/>
        </w:rPr>
        <w:t>/202</w:t>
      </w:r>
      <w:r w:rsidR="00ED127C">
        <w:rPr>
          <w:rFonts w:cstheme="minorHAnsi"/>
          <w:b/>
          <w:sz w:val="28"/>
        </w:rPr>
        <w:t>7</w:t>
      </w:r>
    </w:p>
    <w:p w14:paraId="0FEB1F8C" w14:textId="77777777" w:rsidR="000E6969" w:rsidRPr="004B471C" w:rsidRDefault="000E6969" w:rsidP="006B09AB">
      <w:pPr>
        <w:spacing w:after="120" w:line="23" w:lineRule="atLeast"/>
        <w:jc w:val="center"/>
        <w:rPr>
          <w:rFonts w:cstheme="minorHAnsi"/>
          <w:b/>
          <w:sz w:val="28"/>
        </w:rPr>
      </w:pPr>
      <w:r w:rsidRPr="004B471C">
        <w:rPr>
          <w:rFonts w:cstheme="minorHAnsi"/>
          <w:b/>
          <w:sz w:val="28"/>
        </w:rPr>
        <w:t>Przedmiot: Diagnostyka molekularna</w:t>
      </w:r>
    </w:p>
    <w:p w14:paraId="4A260018" w14:textId="77777777" w:rsidR="000E6969" w:rsidRDefault="000E6969" w:rsidP="006B09AB">
      <w:pPr>
        <w:spacing w:after="120" w:line="23" w:lineRule="atLeast"/>
        <w:jc w:val="center"/>
        <w:rPr>
          <w:rFonts w:cstheme="minorHAnsi"/>
          <w:b/>
          <w:sz w:val="28"/>
        </w:rPr>
      </w:pPr>
      <w:r w:rsidRPr="004B471C">
        <w:rPr>
          <w:rFonts w:cstheme="minorHAnsi"/>
          <w:b/>
          <w:sz w:val="28"/>
        </w:rPr>
        <w:t>Kierunek: Analityka Medyczna, III rok</w:t>
      </w:r>
    </w:p>
    <w:p w14:paraId="2EDE8870" w14:textId="77777777" w:rsidR="00E16A34" w:rsidRDefault="00E16A34" w:rsidP="006B09AB">
      <w:pPr>
        <w:spacing w:after="120" w:line="23" w:lineRule="atLeast"/>
        <w:rPr>
          <w:rFonts w:cstheme="minorHAnsi"/>
        </w:rPr>
      </w:pPr>
    </w:p>
    <w:p w14:paraId="6911DA39" w14:textId="1507E663" w:rsidR="00D417D6" w:rsidRPr="00C00196" w:rsidRDefault="00D417D6" w:rsidP="006B09AB">
      <w:pPr>
        <w:spacing w:after="120" w:line="23" w:lineRule="atLeast"/>
        <w:rPr>
          <w:rFonts w:cstheme="minorHAnsi"/>
          <w:b/>
          <w:u w:val="single"/>
        </w:rPr>
      </w:pPr>
      <w:r w:rsidRPr="004B471C">
        <w:rPr>
          <w:rFonts w:cstheme="minorHAnsi"/>
          <w:b/>
          <w:u w:val="single"/>
        </w:rPr>
        <w:t>Seminaria:</w:t>
      </w:r>
    </w:p>
    <w:tbl>
      <w:tblPr>
        <w:tblStyle w:val="Tabela-Siatka"/>
        <w:tblpPr w:leftFromText="141" w:rightFromText="141" w:vertAnchor="text" w:horzAnchor="margin" w:tblpY="319"/>
        <w:tblW w:w="0" w:type="auto"/>
        <w:tblLook w:val="04A0" w:firstRow="1" w:lastRow="0" w:firstColumn="1" w:lastColumn="0" w:noHBand="0" w:noVBand="1"/>
      </w:tblPr>
      <w:tblGrid>
        <w:gridCol w:w="2122"/>
        <w:gridCol w:w="2126"/>
        <w:gridCol w:w="2126"/>
        <w:gridCol w:w="2126"/>
      </w:tblGrid>
      <w:tr w:rsidR="0029779B" w:rsidRPr="004B471C" w14:paraId="329BD2B9" w14:textId="77777777" w:rsidTr="0029779B">
        <w:trPr>
          <w:trHeight w:val="455"/>
        </w:trPr>
        <w:tc>
          <w:tcPr>
            <w:tcW w:w="2122" w:type="dxa"/>
          </w:tcPr>
          <w:p w14:paraId="74DD0630" w14:textId="71774CFA" w:rsidR="0029779B" w:rsidRPr="004B471C" w:rsidRDefault="00C00196" w:rsidP="00635084">
            <w:pPr>
              <w:spacing w:line="23" w:lineRule="atLeast"/>
              <w:rPr>
                <w:rFonts w:cstheme="minorHAnsi"/>
              </w:rPr>
            </w:pPr>
            <w:r>
              <w:rPr>
                <w:rFonts w:cstheme="minorHAnsi"/>
              </w:rPr>
              <w:t>Data</w:t>
            </w:r>
          </w:p>
        </w:tc>
        <w:tc>
          <w:tcPr>
            <w:tcW w:w="2126" w:type="dxa"/>
          </w:tcPr>
          <w:p w14:paraId="5E435825" w14:textId="77777777" w:rsidR="0029779B" w:rsidRDefault="0029779B" w:rsidP="00635084">
            <w:pPr>
              <w:spacing w:line="23" w:lineRule="atLeast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Seminarium</w:t>
            </w:r>
          </w:p>
          <w:p w14:paraId="58997542" w14:textId="77777777" w:rsidR="00FB7AF0" w:rsidRPr="004B471C" w:rsidRDefault="00FB7AF0" w:rsidP="00635084">
            <w:pPr>
              <w:spacing w:line="23" w:lineRule="atLeast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Grupa 1</w:t>
            </w:r>
          </w:p>
        </w:tc>
        <w:tc>
          <w:tcPr>
            <w:tcW w:w="2126" w:type="dxa"/>
          </w:tcPr>
          <w:p w14:paraId="78D94F6A" w14:textId="7A71F8C8" w:rsidR="00FB7AF0" w:rsidRDefault="00C00196" w:rsidP="00635084">
            <w:pPr>
              <w:spacing w:line="23" w:lineRule="atLeast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Data</w:t>
            </w:r>
          </w:p>
        </w:tc>
        <w:tc>
          <w:tcPr>
            <w:tcW w:w="2126" w:type="dxa"/>
          </w:tcPr>
          <w:p w14:paraId="43C88EE4" w14:textId="77777777" w:rsidR="0029779B" w:rsidRDefault="0029779B" w:rsidP="00635084">
            <w:pPr>
              <w:spacing w:line="23" w:lineRule="atLeast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Seminarium</w:t>
            </w:r>
          </w:p>
          <w:p w14:paraId="001EA490" w14:textId="77777777" w:rsidR="00FB7AF0" w:rsidRDefault="00FB7AF0" w:rsidP="00635084">
            <w:pPr>
              <w:spacing w:line="23" w:lineRule="atLeast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Grupa 2</w:t>
            </w:r>
          </w:p>
        </w:tc>
      </w:tr>
      <w:tr w:rsidR="00AA0707" w:rsidRPr="004B471C" w14:paraId="1B442E23" w14:textId="77777777" w:rsidTr="003A311E">
        <w:trPr>
          <w:trHeight w:val="482"/>
        </w:trPr>
        <w:tc>
          <w:tcPr>
            <w:tcW w:w="2122" w:type="dxa"/>
            <w:vAlign w:val="center"/>
          </w:tcPr>
          <w:p w14:paraId="26F90C45" w14:textId="1BB542B8" w:rsidR="00D70B7F" w:rsidRDefault="00F46352" w:rsidP="00635084">
            <w:pPr>
              <w:spacing w:line="23" w:lineRule="atLeast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  <w:r w:rsidR="00287381">
              <w:rPr>
                <w:rFonts w:cstheme="minorHAnsi"/>
              </w:rPr>
              <w:t>.12</w:t>
            </w:r>
          </w:p>
          <w:p w14:paraId="1EEFD5B5" w14:textId="3407C8B8" w:rsidR="00AA0707" w:rsidRPr="004B471C" w:rsidRDefault="00C00196" w:rsidP="00635084">
            <w:pPr>
              <w:spacing w:line="23" w:lineRule="atLeast"/>
              <w:jc w:val="center"/>
              <w:rPr>
                <w:rFonts w:cstheme="minorHAnsi"/>
              </w:rPr>
            </w:pPr>
            <w:r w:rsidRPr="00C00196">
              <w:rPr>
                <w:rFonts w:cstheme="minorHAnsi"/>
              </w:rPr>
              <w:t>13:15 - 15:30</w:t>
            </w:r>
            <w:r w:rsidR="00D70B7F">
              <w:rPr>
                <w:rFonts w:cstheme="minorHAnsi"/>
              </w:rPr>
              <w:t xml:space="preserve"> s. </w:t>
            </w:r>
            <w:r w:rsidR="00F46352">
              <w:rPr>
                <w:rFonts w:cstheme="minorHAnsi"/>
              </w:rPr>
              <w:t>19</w:t>
            </w:r>
          </w:p>
        </w:tc>
        <w:tc>
          <w:tcPr>
            <w:tcW w:w="2126" w:type="dxa"/>
            <w:shd w:val="clear" w:color="auto" w:fill="FFFF00"/>
            <w:vAlign w:val="center"/>
          </w:tcPr>
          <w:p w14:paraId="71E64217" w14:textId="6E212EFF" w:rsidR="00AA0707" w:rsidRPr="0094453C" w:rsidRDefault="0094453C" w:rsidP="00635084">
            <w:pPr>
              <w:spacing w:line="23" w:lineRule="atLeast"/>
              <w:jc w:val="center"/>
              <w:rPr>
                <w:rFonts w:cstheme="minorHAnsi"/>
                <w:color w:val="FFFF00"/>
              </w:rPr>
            </w:pPr>
            <w:r>
              <w:rPr>
                <w:rFonts w:cstheme="minorHAnsi"/>
              </w:rPr>
              <w:t xml:space="preserve">1 </w:t>
            </w:r>
          </w:p>
        </w:tc>
        <w:tc>
          <w:tcPr>
            <w:tcW w:w="2126" w:type="dxa"/>
            <w:vAlign w:val="center"/>
          </w:tcPr>
          <w:p w14:paraId="0165F18C" w14:textId="15D02EC9" w:rsidR="00D70B7F" w:rsidRDefault="00F46352" w:rsidP="00635084">
            <w:pPr>
              <w:spacing w:line="23" w:lineRule="atLeast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  <w:r w:rsidR="00603AE0">
              <w:rPr>
                <w:rFonts w:cstheme="minorHAnsi"/>
              </w:rPr>
              <w:t>.12</w:t>
            </w:r>
          </w:p>
          <w:p w14:paraId="2982552F" w14:textId="7B31FE89" w:rsidR="00AA0707" w:rsidRPr="004B471C" w:rsidRDefault="000F32F0" w:rsidP="00635084">
            <w:pPr>
              <w:spacing w:line="23" w:lineRule="atLeast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10:15</w:t>
            </w:r>
            <w:r w:rsidR="00252E40" w:rsidRPr="00252E40">
              <w:rPr>
                <w:rFonts w:cstheme="minorHAnsi"/>
              </w:rPr>
              <w:t xml:space="preserve"> - 1</w:t>
            </w:r>
            <w:r w:rsidR="00E2080F">
              <w:rPr>
                <w:rFonts w:cstheme="minorHAnsi"/>
              </w:rPr>
              <w:t>2</w:t>
            </w:r>
            <w:r w:rsidR="00252E40" w:rsidRPr="00252E40">
              <w:rPr>
                <w:rFonts w:cstheme="minorHAnsi"/>
              </w:rPr>
              <w:t>:</w:t>
            </w:r>
            <w:r w:rsidR="00E2080F">
              <w:rPr>
                <w:rFonts w:cstheme="minorHAnsi"/>
              </w:rPr>
              <w:t>30</w:t>
            </w:r>
            <w:r w:rsidR="009B7652">
              <w:rPr>
                <w:rFonts w:cstheme="minorHAnsi"/>
              </w:rPr>
              <w:t xml:space="preserve"> s. </w:t>
            </w:r>
            <w:r w:rsidR="00F46352">
              <w:rPr>
                <w:rFonts w:cstheme="minorHAnsi"/>
              </w:rPr>
              <w:t>19</w:t>
            </w:r>
          </w:p>
        </w:tc>
        <w:tc>
          <w:tcPr>
            <w:tcW w:w="2126" w:type="dxa"/>
            <w:shd w:val="clear" w:color="auto" w:fill="00B0F0"/>
            <w:vAlign w:val="center"/>
          </w:tcPr>
          <w:p w14:paraId="080AA40D" w14:textId="79367233" w:rsidR="00AA0707" w:rsidRPr="004B471C" w:rsidRDefault="00640660" w:rsidP="00635084">
            <w:pPr>
              <w:spacing w:line="23" w:lineRule="atLeast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4 </w:t>
            </w:r>
          </w:p>
        </w:tc>
      </w:tr>
      <w:tr w:rsidR="00AA0707" w:rsidRPr="004B471C" w14:paraId="2F9D366F" w14:textId="77777777" w:rsidTr="003A311E">
        <w:trPr>
          <w:trHeight w:val="455"/>
        </w:trPr>
        <w:tc>
          <w:tcPr>
            <w:tcW w:w="2122" w:type="dxa"/>
            <w:vAlign w:val="center"/>
          </w:tcPr>
          <w:p w14:paraId="414D2F38" w14:textId="13CD5ED1" w:rsidR="00DF2A27" w:rsidRDefault="00402C6B" w:rsidP="00635084">
            <w:pPr>
              <w:spacing w:line="23" w:lineRule="atLeast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</w:t>
            </w:r>
            <w:r w:rsidR="001C2D0A">
              <w:rPr>
                <w:rFonts w:cstheme="minorHAnsi"/>
              </w:rPr>
              <w:t>.12</w:t>
            </w:r>
          </w:p>
          <w:p w14:paraId="21AABD06" w14:textId="74EC9ABA" w:rsidR="00AA0707" w:rsidRPr="004B471C" w:rsidRDefault="00C00196" w:rsidP="00635084">
            <w:pPr>
              <w:spacing w:line="23" w:lineRule="atLeast"/>
              <w:jc w:val="center"/>
              <w:rPr>
                <w:rFonts w:cstheme="minorHAnsi"/>
              </w:rPr>
            </w:pPr>
            <w:r w:rsidRPr="00C00196">
              <w:rPr>
                <w:rFonts w:cstheme="minorHAnsi"/>
              </w:rPr>
              <w:t>13:15 - 15:30</w:t>
            </w:r>
            <w:r w:rsidR="00DF2A27">
              <w:rPr>
                <w:rFonts w:cstheme="minorHAnsi"/>
              </w:rPr>
              <w:t xml:space="preserve"> s.</w:t>
            </w:r>
            <w:r w:rsidR="0001752A">
              <w:rPr>
                <w:rFonts w:cstheme="minorHAnsi"/>
              </w:rPr>
              <w:t xml:space="preserve"> </w:t>
            </w:r>
            <w:r w:rsidR="00E2080F">
              <w:rPr>
                <w:rFonts w:cstheme="minorHAnsi"/>
              </w:rPr>
              <w:t>19</w:t>
            </w:r>
          </w:p>
        </w:tc>
        <w:tc>
          <w:tcPr>
            <w:tcW w:w="2126" w:type="dxa"/>
            <w:shd w:val="clear" w:color="auto" w:fill="00B0F0"/>
            <w:vAlign w:val="center"/>
          </w:tcPr>
          <w:p w14:paraId="2E224D85" w14:textId="5D6D6145" w:rsidR="00AA0707" w:rsidRPr="004B471C" w:rsidRDefault="0094453C" w:rsidP="00635084">
            <w:pPr>
              <w:spacing w:line="23" w:lineRule="atLeast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4 </w:t>
            </w:r>
          </w:p>
        </w:tc>
        <w:tc>
          <w:tcPr>
            <w:tcW w:w="2126" w:type="dxa"/>
            <w:vAlign w:val="center"/>
          </w:tcPr>
          <w:p w14:paraId="6743CEDE" w14:textId="48BB46D3" w:rsidR="00DF2A27" w:rsidRDefault="00402C6B" w:rsidP="00635084">
            <w:pPr>
              <w:spacing w:line="23" w:lineRule="atLeast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</w:t>
            </w:r>
            <w:r w:rsidR="00603AE0">
              <w:rPr>
                <w:rFonts w:cstheme="minorHAnsi"/>
              </w:rPr>
              <w:t>.12</w:t>
            </w:r>
          </w:p>
          <w:p w14:paraId="7504C5F3" w14:textId="2A1D276D" w:rsidR="00AA0707" w:rsidRPr="004B471C" w:rsidRDefault="00252E40" w:rsidP="00635084">
            <w:pPr>
              <w:spacing w:line="23" w:lineRule="atLeast"/>
              <w:jc w:val="center"/>
              <w:rPr>
                <w:rFonts w:cstheme="minorHAnsi"/>
              </w:rPr>
            </w:pPr>
            <w:r w:rsidRPr="00252E40">
              <w:rPr>
                <w:rFonts w:cstheme="minorHAnsi"/>
              </w:rPr>
              <w:t>1</w:t>
            </w:r>
            <w:r w:rsidR="00402C6B">
              <w:rPr>
                <w:rFonts w:cstheme="minorHAnsi"/>
              </w:rPr>
              <w:t>0</w:t>
            </w:r>
            <w:r w:rsidRPr="00252E40">
              <w:rPr>
                <w:rFonts w:cstheme="minorHAnsi"/>
              </w:rPr>
              <w:t>:</w:t>
            </w:r>
            <w:r w:rsidR="00402C6B">
              <w:rPr>
                <w:rFonts w:cstheme="minorHAnsi"/>
              </w:rPr>
              <w:t>15</w:t>
            </w:r>
            <w:r w:rsidRPr="00252E40">
              <w:rPr>
                <w:rFonts w:cstheme="minorHAnsi"/>
              </w:rPr>
              <w:t xml:space="preserve"> - 1</w:t>
            </w:r>
            <w:r w:rsidR="00402C6B">
              <w:rPr>
                <w:rFonts w:cstheme="minorHAnsi"/>
              </w:rPr>
              <w:t>2</w:t>
            </w:r>
            <w:r w:rsidRPr="00252E40">
              <w:rPr>
                <w:rFonts w:cstheme="minorHAnsi"/>
              </w:rPr>
              <w:t>:</w:t>
            </w:r>
            <w:r w:rsidR="00402C6B">
              <w:rPr>
                <w:rFonts w:cstheme="minorHAnsi"/>
              </w:rPr>
              <w:t>30</w:t>
            </w:r>
            <w:r w:rsidR="00DF2A27">
              <w:rPr>
                <w:rFonts w:cstheme="minorHAnsi"/>
              </w:rPr>
              <w:t xml:space="preserve"> s. 19</w:t>
            </w:r>
          </w:p>
        </w:tc>
        <w:tc>
          <w:tcPr>
            <w:tcW w:w="2126" w:type="dxa"/>
            <w:shd w:val="clear" w:color="auto" w:fill="FABF8F" w:themeFill="accent6" w:themeFillTint="99"/>
            <w:vAlign w:val="center"/>
          </w:tcPr>
          <w:p w14:paraId="532AE4ED" w14:textId="7FD55EA4" w:rsidR="00AA0707" w:rsidRPr="004B471C" w:rsidRDefault="00640660" w:rsidP="00635084">
            <w:pPr>
              <w:spacing w:line="23" w:lineRule="atLeast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5 </w:t>
            </w:r>
          </w:p>
        </w:tc>
      </w:tr>
      <w:tr w:rsidR="00AA0707" w:rsidRPr="004B471C" w14:paraId="3BA71E94" w14:textId="77777777" w:rsidTr="003A311E">
        <w:trPr>
          <w:trHeight w:val="482"/>
        </w:trPr>
        <w:tc>
          <w:tcPr>
            <w:tcW w:w="2122" w:type="dxa"/>
            <w:vAlign w:val="center"/>
          </w:tcPr>
          <w:p w14:paraId="6B942683" w14:textId="5398F0C1" w:rsidR="00DF2A27" w:rsidRDefault="00C44EE6" w:rsidP="00635084">
            <w:pPr>
              <w:spacing w:line="23" w:lineRule="atLeast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="00CE72C4">
              <w:rPr>
                <w:rFonts w:cstheme="minorHAnsi"/>
              </w:rPr>
              <w:t>6</w:t>
            </w:r>
            <w:r>
              <w:rPr>
                <w:rFonts w:cstheme="minorHAnsi"/>
              </w:rPr>
              <w:t>.</w:t>
            </w:r>
            <w:r w:rsidR="00CE72C4">
              <w:rPr>
                <w:rFonts w:cstheme="minorHAnsi"/>
              </w:rPr>
              <w:t>12</w:t>
            </w:r>
          </w:p>
          <w:p w14:paraId="3D3E0E1A" w14:textId="1B8CBEF1" w:rsidR="00AA0707" w:rsidRPr="004B471C" w:rsidRDefault="00C44EE6" w:rsidP="00635084">
            <w:pPr>
              <w:spacing w:line="23" w:lineRule="atLeast"/>
              <w:jc w:val="center"/>
              <w:rPr>
                <w:rFonts w:cstheme="minorHAnsi"/>
              </w:rPr>
            </w:pPr>
            <w:r w:rsidRPr="00C00196">
              <w:rPr>
                <w:rFonts w:cstheme="minorHAnsi"/>
              </w:rPr>
              <w:t>13:</w:t>
            </w:r>
            <w:r w:rsidR="00CE72C4">
              <w:rPr>
                <w:rFonts w:cstheme="minorHAnsi"/>
              </w:rPr>
              <w:t>15</w:t>
            </w:r>
            <w:r w:rsidRPr="00C00196">
              <w:rPr>
                <w:rFonts w:cstheme="minorHAnsi"/>
              </w:rPr>
              <w:t xml:space="preserve"> - 15:</w:t>
            </w:r>
            <w:r w:rsidR="00CE72C4">
              <w:rPr>
                <w:rFonts w:cstheme="minorHAnsi"/>
              </w:rPr>
              <w:t>30</w:t>
            </w:r>
            <w:r w:rsidR="00DF2A27">
              <w:rPr>
                <w:rFonts w:cstheme="minorHAnsi"/>
              </w:rPr>
              <w:t xml:space="preserve"> s.</w:t>
            </w:r>
            <w:r w:rsidR="0001752A">
              <w:rPr>
                <w:rFonts w:cstheme="minorHAnsi"/>
              </w:rPr>
              <w:t xml:space="preserve"> 19</w:t>
            </w:r>
          </w:p>
        </w:tc>
        <w:tc>
          <w:tcPr>
            <w:tcW w:w="2126" w:type="dxa"/>
            <w:shd w:val="clear" w:color="auto" w:fill="FABF8F" w:themeFill="accent6" w:themeFillTint="99"/>
            <w:vAlign w:val="center"/>
          </w:tcPr>
          <w:p w14:paraId="10AFC3C1" w14:textId="6336FB7A" w:rsidR="00AA0707" w:rsidRPr="004B471C" w:rsidRDefault="00AA0707" w:rsidP="00635084">
            <w:pPr>
              <w:spacing w:line="23" w:lineRule="atLeast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5 </w:t>
            </w:r>
          </w:p>
        </w:tc>
        <w:tc>
          <w:tcPr>
            <w:tcW w:w="2126" w:type="dxa"/>
            <w:vAlign w:val="center"/>
          </w:tcPr>
          <w:p w14:paraId="20C9B278" w14:textId="2D590FBB" w:rsidR="00DF2A27" w:rsidRDefault="00C44EE6" w:rsidP="00635084">
            <w:pPr>
              <w:spacing w:line="23" w:lineRule="atLeast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="0066587F">
              <w:rPr>
                <w:rFonts w:cstheme="minorHAnsi"/>
              </w:rPr>
              <w:t>4.12</w:t>
            </w:r>
          </w:p>
          <w:p w14:paraId="41F58174" w14:textId="623A001A" w:rsidR="00AA0707" w:rsidRPr="004B471C" w:rsidRDefault="00C44EE6" w:rsidP="00635084">
            <w:pPr>
              <w:spacing w:line="23" w:lineRule="atLeast"/>
              <w:jc w:val="center"/>
              <w:rPr>
                <w:rFonts w:cstheme="minorHAnsi"/>
              </w:rPr>
            </w:pPr>
            <w:r w:rsidRPr="00252E40">
              <w:rPr>
                <w:rFonts w:cstheme="minorHAnsi"/>
              </w:rPr>
              <w:t>13:30 - 15:45</w:t>
            </w:r>
            <w:r w:rsidR="00DF2A27">
              <w:rPr>
                <w:rFonts w:cstheme="minorHAnsi"/>
              </w:rPr>
              <w:t xml:space="preserve"> s. </w:t>
            </w:r>
            <w:r w:rsidR="0066587F">
              <w:rPr>
                <w:rFonts w:cstheme="minorHAnsi"/>
              </w:rPr>
              <w:t>19</w:t>
            </w:r>
          </w:p>
        </w:tc>
        <w:tc>
          <w:tcPr>
            <w:tcW w:w="2126" w:type="dxa"/>
            <w:shd w:val="clear" w:color="auto" w:fill="FF0000"/>
            <w:vAlign w:val="center"/>
          </w:tcPr>
          <w:p w14:paraId="02741DC7" w14:textId="0FF23D9D" w:rsidR="00AA0707" w:rsidRPr="004B471C" w:rsidRDefault="002924D5" w:rsidP="00635084">
            <w:pPr>
              <w:spacing w:line="23" w:lineRule="atLeast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  <w:r w:rsidR="00AA0707">
              <w:rPr>
                <w:rFonts w:cstheme="minorHAnsi"/>
              </w:rPr>
              <w:t xml:space="preserve"> </w:t>
            </w:r>
          </w:p>
        </w:tc>
      </w:tr>
      <w:tr w:rsidR="00AA0707" w:rsidRPr="004B471C" w14:paraId="7590A0E4" w14:textId="77777777" w:rsidTr="003A311E">
        <w:trPr>
          <w:trHeight w:val="455"/>
        </w:trPr>
        <w:tc>
          <w:tcPr>
            <w:tcW w:w="2122" w:type="dxa"/>
            <w:vAlign w:val="center"/>
          </w:tcPr>
          <w:p w14:paraId="7B495EBC" w14:textId="4CBD36D3" w:rsidR="00DF2A27" w:rsidRDefault="001C2D0A" w:rsidP="00635084">
            <w:pPr>
              <w:spacing w:line="23" w:lineRule="atLeast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="00F50DF5">
              <w:rPr>
                <w:rFonts w:cstheme="minorHAnsi"/>
              </w:rPr>
              <w:t>3</w:t>
            </w:r>
            <w:r>
              <w:rPr>
                <w:rFonts w:cstheme="minorHAnsi"/>
              </w:rPr>
              <w:t>.01</w:t>
            </w:r>
          </w:p>
          <w:p w14:paraId="154CF1F5" w14:textId="5669B8C5" w:rsidR="00AA0707" w:rsidRPr="004B471C" w:rsidRDefault="00C00196" w:rsidP="00635084">
            <w:pPr>
              <w:spacing w:line="23" w:lineRule="atLeast"/>
              <w:jc w:val="center"/>
              <w:rPr>
                <w:rFonts w:cstheme="minorHAnsi"/>
              </w:rPr>
            </w:pPr>
            <w:r w:rsidRPr="00C00196">
              <w:rPr>
                <w:rFonts w:cstheme="minorHAnsi"/>
              </w:rPr>
              <w:t>13:</w:t>
            </w:r>
            <w:r w:rsidR="00F50DF5">
              <w:rPr>
                <w:rFonts w:cstheme="minorHAnsi"/>
              </w:rPr>
              <w:t>15</w:t>
            </w:r>
            <w:r w:rsidRPr="00C00196">
              <w:rPr>
                <w:rFonts w:cstheme="minorHAnsi"/>
              </w:rPr>
              <w:t xml:space="preserve"> - 15:</w:t>
            </w:r>
            <w:r w:rsidR="00F50DF5">
              <w:rPr>
                <w:rFonts w:cstheme="minorHAnsi"/>
              </w:rPr>
              <w:t>30</w:t>
            </w:r>
            <w:r w:rsidR="00DF2A27">
              <w:rPr>
                <w:rFonts w:cstheme="minorHAnsi"/>
              </w:rPr>
              <w:t xml:space="preserve"> s. </w:t>
            </w:r>
            <w:r w:rsidR="0001752A">
              <w:rPr>
                <w:rFonts w:cstheme="minorHAnsi"/>
              </w:rPr>
              <w:t>19</w:t>
            </w:r>
          </w:p>
        </w:tc>
        <w:tc>
          <w:tcPr>
            <w:tcW w:w="2126" w:type="dxa"/>
            <w:shd w:val="clear" w:color="auto" w:fill="FF0000"/>
            <w:vAlign w:val="center"/>
          </w:tcPr>
          <w:p w14:paraId="43EAF47C" w14:textId="592FE950" w:rsidR="00AA0707" w:rsidRPr="004B471C" w:rsidRDefault="002924D5" w:rsidP="00635084">
            <w:pPr>
              <w:spacing w:line="23" w:lineRule="atLeast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  <w:r w:rsidR="00AA0707">
              <w:rPr>
                <w:rFonts w:cstheme="minorHAnsi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14:paraId="78B9506A" w14:textId="11ED17D8" w:rsidR="00DF2A27" w:rsidRDefault="00603AE0" w:rsidP="00635084">
            <w:pPr>
              <w:spacing w:line="23" w:lineRule="atLeast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="0064797F">
              <w:rPr>
                <w:rFonts w:cstheme="minorHAnsi"/>
              </w:rPr>
              <w:t>1</w:t>
            </w:r>
            <w:r>
              <w:rPr>
                <w:rFonts w:cstheme="minorHAnsi"/>
              </w:rPr>
              <w:t>.01</w:t>
            </w:r>
          </w:p>
          <w:p w14:paraId="27B20088" w14:textId="66D13D11" w:rsidR="00AA0707" w:rsidRPr="004B471C" w:rsidRDefault="00252E40" w:rsidP="00635084">
            <w:pPr>
              <w:spacing w:line="23" w:lineRule="atLeast"/>
              <w:jc w:val="center"/>
              <w:rPr>
                <w:rFonts w:cstheme="minorHAnsi"/>
              </w:rPr>
            </w:pPr>
            <w:r w:rsidRPr="00252E40">
              <w:rPr>
                <w:rFonts w:cstheme="minorHAnsi"/>
              </w:rPr>
              <w:t>13:30 - 15:45</w:t>
            </w:r>
            <w:r w:rsidR="00DF2A27">
              <w:rPr>
                <w:rFonts w:cstheme="minorHAnsi"/>
              </w:rPr>
              <w:t xml:space="preserve"> s. </w:t>
            </w:r>
            <w:r w:rsidR="0064797F">
              <w:rPr>
                <w:rFonts w:cstheme="minorHAnsi"/>
              </w:rPr>
              <w:t>19</w:t>
            </w:r>
          </w:p>
        </w:tc>
        <w:tc>
          <w:tcPr>
            <w:tcW w:w="2126" w:type="dxa"/>
            <w:shd w:val="clear" w:color="auto" w:fill="92D050"/>
            <w:vAlign w:val="center"/>
          </w:tcPr>
          <w:p w14:paraId="72CB1FD2" w14:textId="58081FE8" w:rsidR="00AA0707" w:rsidRPr="004B471C" w:rsidRDefault="00AA0707" w:rsidP="00635084">
            <w:pPr>
              <w:spacing w:line="23" w:lineRule="atLeast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3 </w:t>
            </w:r>
          </w:p>
        </w:tc>
      </w:tr>
      <w:tr w:rsidR="00AA0707" w:rsidRPr="004B471C" w14:paraId="093158D0" w14:textId="77777777" w:rsidTr="003A311E">
        <w:trPr>
          <w:trHeight w:val="509"/>
        </w:trPr>
        <w:tc>
          <w:tcPr>
            <w:tcW w:w="2122" w:type="dxa"/>
            <w:vAlign w:val="center"/>
          </w:tcPr>
          <w:p w14:paraId="2CE5FE1C" w14:textId="4FB86F1E" w:rsidR="00DF2A27" w:rsidRDefault="00C44EE6" w:rsidP="00635084">
            <w:pPr>
              <w:spacing w:line="23" w:lineRule="atLeast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  <w:r w:rsidR="00516113">
              <w:rPr>
                <w:rFonts w:cstheme="minorHAnsi"/>
              </w:rPr>
              <w:t>0</w:t>
            </w:r>
            <w:r w:rsidR="001C2D0A">
              <w:rPr>
                <w:rFonts w:cstheme="minorHAnsi"/>
              </w:rPr>
              <w:t>.01</w:t>
            </w:r>
          </w:p>
          <w:p w14:paraId="4879305B" w14:textId="1CDC871A" w:rsidR="00AA0707" w:rsidRPr="004B471C" w:rsidRDefault="007140E6" w:rsidP="00635084">
            <w:pPr>
              <w:spacing w:line="23" w:lineRule="atLeast"/>
              <w:jc w:val="center"/>
              <w:rPr>
                <w:rFonts w:cstheme="minorHAnsi"/>
              </w:rPr>
            </w:pPr>
            <w:r w:rsidRPr="00C00196">
              <w:rPr>
                <w:rFonts w:cstheme="minorHAnsi"/>
              </w:rPr>
              <w:t>13:</w:t>
            </w:r>
            <w:r>
              <w:rPr>
                <w:rFonts w:cstheme="minorHAnsi"/>
              </w:rPr>
              <w:t>15</w:t>
            </w:r>
            <w:r w:rsidRPr="00C00196">
              <w:rPr>
                <w:rFonts w:cstheme="minorHAnsi"/>
              </w:rPr>
              <w:t xml:space="preserve"> - 15:</w:t>
            </w:r>
            <w:r>
              <w:rPr>
                <w:rFonts w:cstheme="minorHAnsi"/>
              </w:rPr>
              <w:t>30 s. 19</w:t>
            </w:r>
          </w:p>
        </w:tc>
        <w:tc>
          <w:tcPr>
            <w:tcW w:w="2126" w:type="dxa"/>
            <w:shd w:val="clear" w:color="auto" w:fill="92D050"/>
            <w:vAlign w:val="center"/>
          </w:tcPr>
          <w:p w14:paraId="6C40F1B1" w14:textId="66529C28" w:rsidR="00AA0707" w:rsidRPr="004B471C" w:rsidRDefault="00AA0707" w:rsidP="00635084">
            <w:pPr>
              <w:spacing w:line="23" w:lineRule="atLeast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3 </w:t>
            </w:r>
          </w:p>
        </w:tc>
        <w:tc>
          <w:tcPr>
            <w:tcW w:w="2126" w:type="dxa"/>
            <w:vAlign w:val="center"/>
          </w:tcPr>
          <w:p w14:paraId="05F6168F" w14:textId="718BADD5" w:rsidR="00DF2A27" w:rsidRDefault="0064797F" w:rsidP="00635084">
            <w:pPr>
              <w:spacing w:line="23" w:lineRule="atLeast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</w:t>
            </w:r>
            <w:r w:rsidR="00603AE0">
              <w:rPr>
                <w:rFonts w:cstheme="minorHAnsi"/>
              </w:rPr>
              <w:t>.01</w:t>
            </w:r>
          </w:p>
          <w:p w14:paraId="1284FCF4" w14:textId="13780550" w:rsidR="00AA0707" w:rsidRPr="004B471C" w:rsidRDefault="00516113" w:rsidP="00635084">
            <w:pPr>
              <w:spacing w:line="23" w:lineRule="atLeast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13:30</w:t>
            </w:r>
            <w:r w:rsidR="001320E7" w:rsidRPr="001320E7">
              <w:rPr>
                <w:rFonts w:cstheme="minorHAnsi"/>
              </w:rPr>
              <w:t xml:space="preserve"> - 1</w:t>
            </w:r>
            <w:r>
              <w:rPr>
                <w:rFonts w:cstheme="minorHAnsi"/>
              </w:rPr>
              <w:t>5</w:t>
            </w:r>
            <w:r w:rsidR="001320E7" w:rsidRPr="001320E7">
              <w:rPr>
                <w:rFonts w:cstheme="minorHAnsi"/>
              </w:rPr>
              <w:t>:</w:t>
            </w:r>
            <w:r>
              <w:rPr>
                <w:rFonts w:cstheme="minorHAnsi"/>
              </w:rPr>
              <w:t>4</w:t>
            </w:r>
            <w:r w:rsidR="001320E7" w:rsidRPr="001320E7">
              <w:rPr>
                <w:rFonts w:cstheme="minorHAnsi"/>
              </w:rPr>
              <w:t>5</w:t>
            </w:r>
            <w:r w:rsidR="00DF2A27">
              <w:rPr>
                <w:rFonts w:cstheme="minorHAnsi"/>
              </w:rPr>
              <w:t xml:space="preserve"> s. </w:t>
            </w:r>
            <w:r>
              <w:rPr>
                <w:rFonts w:cstheme="minorHAnsi"/>
              </w:rPr>
              <w:t>19</w:t>
            </w:r>
          </w:p>
        </w:tc>
        <w:tc>
          <w:tcPr>
            <w:tcW w:w="2126" w:type="dxa"/>
            <w:shd w:val="clear" w:color="auto" w:fill="FFFF00"/>
            <w:vAlign w:val="center"/>
          </w:tcPr>
          <w:p w14:paraId="12E8D49D" w14:textId="4E84CC5C" w:rsidR="00AA0707" w:rsidRPr="004B471C" w:rsidRDefault="008D16AE" w:rsidP="00635084">
            <w:pPr>
              <w:spacing w:line="23" w:lineRule="atLeast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1 </w:t>
            </w:r>
          </w:p>
        </w:tc>
      </w:tr>
    </w:tbl>
    <w:p w14:paraId="4528EBDE" w14:textId="77777777" w:rsidR="00D417D6" w:rsidRPr="004B471C" w:rsidRDefault="00D417D6" w:rsidP="006B09AB">
      <w:pPr>
        <w:spacing w:after="120" w:line="23" w:lineRule="atLeast"/>
        <w:rPr>
          <w:rFonts w:cstheme="minorHAnsi"/>
        </w:rPr>
      </w:pPr>
    </w:p>
    <w:p w14:paraId="4DED885A" w14:textId="77777777" w:rsidR="00D417D6" w:rsidRDefault="00D417D6" w:rsidP="006B09AB">
      <w:pPr>
        <w:spacing w:after="120" w:line="23" w:lineRule="atLeast"/>
        <w:rPr>
          <w:rFonts w:cstheme="minorHAnsi"/>
        </w:rPr>
      </w:pPr>
    </w:p>
    <w:p w14:paraId="2C94C355" w14:textId="77777777" w:rsidR="00D417D6" w:rsidRDefault="00D417D6" w:rsidP="006B09AB">
      <w:pPr>
        <w:spacing w:after="120" w:line="23" w:lineRule="atLeast"/>
        <w:rPr>
          <w:rFonts w:cstheme="minorHAnsi"/>
        </w:rPr>
      </w:pPr>
    </w:p>
    <w:p w14:paraId="6216572A" w14:textId="77777777" w:rsidR="00D417D6" w:rsidRDefault="00D417D6" w:rsidP="006B09AB">
      <w:pPr>
        <w:spacing w:after="120" w:line="23" w:lineRule="atLeast"/>
        <w:rPr>
          <w:rFonts w:cstheme="minorHAnsi"/>
        </w:rPr>
      </w:pPr>
    </w:p>
    <w:p w14:paraId="0E1AC472" w14:textId="77777777" w:rsidR="00D417D6" w:rsidRDefault="00D417D6" w:rsidP="006B09AB">
      <w:pPr>
        <w:spacing w:after="120" w:line="23" w:lineRule="atLeast"/>
        <w:rPr>
          <w:rFonts w:cstheme="minorHAnsi"/>
        </w:rPr>
      </w:pPr>
    </w:p>
    <w:p w14:paraId="33EF0941" w14:textId="77777777" w:rsidR="00D417D6" w:rsidRDefault="00D417D6" w:rsidP="006B09AB">
      <w:pPr>
        <w:spacing w:after="120" w:line="23" w:lineRule="atLeast"/>
        <w:rPr>
          <w:rFonts w:cstheme="minorHAnsi"/>
        </w:rPr>
      </w:pPr>
    </w:p>
    <w:p w14:paraId="7442D329" w14:textId="77777777" w:rsidR="00D417D6" w:rsidRDefault="00D417D6" w:rsidP="006B09AB">
      <w:pPr>
        <w:spacing w:after="120" w:line="23" w:lineRule="atLeast"/>
        <w:rPr>
          <w:rFonts w:cstheme="minorHAnsi"/>
        </w:rPr>
      </w:pPr>
    </w:p>
    <w:p w14:paraId="42ABAFD9" w14:textId="77777777" w:rsidR="009B7A2E" w:rsidRDefault="009B7A2E" w:rsidP="006B09AB">
      <w:pPr>
        <w:spacing w:after="120" w:line="23" w:lineRule="atLeast"/>
        <w:rPr>
          <w:rFonts w:cstheme="minorHAnsi"/>
        </w:rPr>
      </w:pPr>
    </w:p>
    <w:p w14:paraId="4F85FDA9" w14:textId="77777777" w:rsidR="007F754D" w:rsidRDefault="007F754D" w:rsidP="006B09AB">
      <w:pPr>
        <w:spacing w:after="120" w:line="23" w:lineRule="atLeast"/>
        <w:rPr>
          <w:rFonts w:cstheme="minorHAnsi"/>
        </w:rPr>
      </w:pPr>
    </w:p>
    <w:p w14:paraId="327C2030" w14:textId="77777777" w:rsidR="006B09AB" w:rsidRDefault="006B09AB" w:rsidP="006B09AB">
      <w:pPr>
        <w:spacing w:after="120" w:line="23" w:lineRule="atLeast"/>
        <w:rPr>
          <w:rFonts w:cstheme="minorHAnsi"/>
        </w:rPr>
      </w:pPr>
    </w:p>
    <w:p w14:paraId="0DFD7AAD" w14:textId="77777777" w:rsidR="006B09AB" w:rsidRDefault="006B09AB" w:rsidP="006B09AB">
      <w:pPr>
        <w:spacing w:after="120" w:line="23" w:lineRule="atLeast"/>
        <w:rPr>
          <w:rFonts w:cstheme="minorHAnsi"/>
        </w:rPr>
      </w:pPr>
    </w:p>
    <w:p w14:paraId="62611076" w14:textId="77777777" w:rsidR="00BF157F" w:rsidRPr="004B471C" w:rsidRDefault="00BF157F" w:rsidP="006B09AB">
      <w:pPr>
        <w:shd w:val="clear" w:color="auto" w:fill="FFFF00"/>
        <w:spacing w:after="120" w:line="23" w:lineRule="atLeast"/>
        <w:rPr>
          <w:rFonts w:cstheme="minorHAnsi"/>
          <w:b/>
          <w:color w:val="000000" w:themeColor="text1"/>
          <w:u w:val="single"/>
        </w:rPr>
      </w:pPr>
      <w:r w:rsidRPr="004B471C">
        <w:rPr>
          <w:rFonts w:cstheme="minorHAnsi"/>
          <w:b/>
          <w:color w:val="000000" w:themeColor="text1"/>
          <w:u w:val="single"/>
        </w:rPr>
        <w:t xml:space="preserve">Seminarium 1 </w:t>
      </w:r>
    </w:p>
    <w:p w14:paraId="3274CB3D" w14:textId="77777777" w:rsidR="00D47BB7" w:rsidRDefault="00D47BB7" w:rsidP="006B09AB">
      <w:pPr>
        <w:shd w:val="clear" w:color="auto" w:fill="FFFFFF"/>
        <w:spacing w:after="120" w:line="23" w:lineRule="atLeast"/>
        <w:textAlignment w:val="baseline"/>
        <w:rPr>
          <w:rFonts w:cstheme="minorHAnsi"/>
          <w:b/>
          <w:bCs/>
          <w:color w:val="201F1E"/>
          <w:shd w:val="clear" w:color="auto" w:fill="FFFFFF"/>
        </w:rPr>
      </w:pPr>
    </w:p>
    <w:p w14:paraId="1A08D3FC" w14:textId="3BA134D6" w:rsidR="00D47BB7" w:rsidRPr="00D47BB7" w:rsidRDefault="00D47BB7" w:rsidP="006B09AB">
      <w:pPr>
        <w:shd w:val="clear" w:color="auto" w:fill="FFFFFF"/>
        <w:spacing w:after="120" w:line="23" w:lineRule="atLeast"/>
        <w:textAlignment w:val="baseline"/>
        <w:rPr>
          <w:rFonts w:cstheme="minorHAnsi"/>
          <w:b/>
          <w:bCs/>
          <w:color w:val="201F1E"/>
          <w:shd w:val="clear" w:color="auto" w:fill="FFFFFF"/>
        </w:rPr>
      </w:pPr>
      <w:r w:rsidRPr="00D47BB7">
        <w:rPr>
          <w:rFonts w:cstheme="minorHAnsi"/>
          <w:b/>
          <w:bCs/>
          <w:color w:val="201F1E"/>
          <w:shd w:val="clear" w:color="auto" w:fill="FFFFFF"/>
        </w:rPr>
        <w:t xml:space="preserve">Temat: Sekwencjonowanie </w:t>
      </w:r>
    </w:p>
    <w:p w14:paraId="5FB9237E" w14:textId="77777777" w:rsidR="00D47BB7" w:rsidRPr="00D47BB7" w:rsidRDefault="00D47BB7" w:rsidP="006B09AB">
      <w:pPr>
        <w:shd w:val="clear" w:color="auto" w:fill="FFFFFF"/>
        <w:spacing w:after="120" w:line="23" w:lineRule="atLeast"/>
        <w:textAlignment w:val="baseline"/>
        <w:rPr>
          <w:rFonts w:cstheme="minorHAnsi"/>
          <w:color w:val="201F1E"/>
          <w:shd w:val="clear" w:color="auto" w:fill="FFFFFF"/>
        </w:rPr>
      </w:pPr>
      <w:r w:rsidRPr="00D47BB7">
        <w:rPr>
          <w:rFonts w:cstheme="minorHAnsi"/>
          <w:color w:val="201F1E"/>
          <w:shd w:val="clear" w:color="auto" w:fill="FFFFFF"/>
        </w:rPr>
        <w:t>Zagadnienia:</w:t>
      </w:r>
    </w:p>
    <w:p w14:paraId="5C937469" w14:textId="77777777" w:rsidR="00D47BB7" w:rsidRPr="00D47BB7" w:rsidRDefault="00D47BB7" w:rsidP="006B09AB">
      <w:pPr>
        <w:shd w:val="clear" w:color="auto" w:fill="FFFFFF"/>
        <w:spacing w:after="120" w:line="23" w:lineRule="atLeast"/>
        <w:textAlignment w:val="baseline"/>
        <w:rPr>
          <w:rFonts w:cstheme="minorHAnsi"/>
          <w:color w:val="201F1E"/>
          <w:shd w:val="clear" w:color="auto" w:fill="FFFFFF"/>
        </w:rPr>
      </w:pPr>
      <w:r w:rsidRPr="00D47BB7">
        <w:rPr>
          <w:rFonts w:cstheme="minorHAnsi"/>
          <w:color w:val="201F1E"/>
          <w:shd w:val="clear" w:color="auto" w:fill="FFFFFF"/>
        </w:rPr>
        <w:t xml:space="preserve">Definicja sekwencjonowania, rodzaje sekwencjonowania ze względu na skalę (definicje WES, WGS, sekwencjonowanie celowane), metoda </w:t>
      </w:r>
      <w:proofErr w:type="spellStart"/>
      <w:r w:rsidRPr="00D47BB7">
        <w:rPr>
          <w:rFonts w:cstheme="minorHAnsi"/>
          <w:color w:val="201F1E"/>
          <w:shd w:val="clear" w:color="auto" w:fill="FFFFFF"/>
        </w:rPr>
        <w:t>Sangera</w:t>
      </w:r>
      <w:proofErr w:type="spellEnd"/>
      <w:r w:rsidRPr="00D47BB7">
        <w:rPr>
          <w:rFonts w:cstheme="minorHAnsi"/>
          <w:color w:val="201F1E"/>
          <w:shd w:val="clear" w:color="auto" w:fill="FFFFFF"/>
        </w:rPr>
        <w:t xml:space="preserve"> oraz jej modyfikacje, </w:t>
      </w:r>
      <w:proofErr w:type="spellStart"/>
      <w:r w:rsidRPr="00D47BB7">
        <w:rPr>
          <w:rFonts w:cstheme="minorHAnsi"/>
          <w:color w:val="201F1E"/>
          <w:shd w:val="clear" w:color="auto" w:fill="FFFFFF"/>
        </w:rPr>
        <w:t>pirosekwencjonowanie</w:t>
      </w:r>
      <w:proofErr w:type="spellEnd"/>
      <w:r w:rsidRPr="00D47BB7">
        <w:rPr>
          <w:rFonts w:cstheme="minorHAnsi"/>
          <w:color w:val="201F1E"/>
          <w:shd w:val="clear" w:color="auto" w:fill="FFFFFF"/>
        </w:rPr>
        <w:t xml:space="preserve">, Metody NGS (, </w:t>
      </w:r>
      <w:proofErr w:type="spellStart"/>
      <w:r w:rsidRPr="00D47BB7">
        <w:rPr>
          <w:rFonts w:cstheme="minorHAnsi"/>
          <w:color w:val="201F1E"/>
          <w:shd w:val="clear" w:color="auto" w:fill="FFFFFF"/>
        </w:rPr>
        <w:t>Illumina</w:t>
      </w:r>
      <w:proofErr w:type="spellEnd"/>
      <w:r w:rsidRPr="00D47BB7">
        <w:rPr>
          <w:rFonts w:cstheme="minorHAnsi"/>
          <w:color w:val="201F1E"/>
          <w:shd w:val="clear" w:color="auto" w:fill="FFFFFF"/>
        </w:rPr>
        <w:t xml:space="preserve">, </w:t>
      </w:r>
      <w:proofErr w:type="spellStart"/>
      <w:r w:rsidRPr="00D47BB7">
        <w:rPr>
          <w:rFonts w:cstheme="minorHAnsi"/>
          <w:color w:val="201F1E"/>
          <w:shd w:val="clear" w:color="auto" w:fill="FFFFFF"/>
        </w:rPr>
        <w:t>IonTorrent</w:t>
      </w:r>
      <w:proofErr w:type="spellEnd"/>
      <w:r w:rsidRPr="00D47BB7">
        <w:rPr>
          <w:rFonts w:cstheme="minorHAnsi"/>
          <w:color w:val="201F1E"/>
          <w:shd w:val="clear" w:color="auto" w:fill="FFFFFF"/>
        </w:rPr>
        <w:t>), Metody III generacji (</w:t>
      </w:r>
      <w:proofErr w:type="spellStart"/>
      <w:r w:rsidRPr="00D47BB7">
        <w:rPr>
          <w:rFonts w:cstheme="minorHAnsi"/>
          <w:color w:val="201F1E"/>
          <w:shd w:val="clear" w:color="auto" w:fill="FFFFFF"/>
        </w:rPr>
        <w:t>PacBio</w:t>
      </w:r>
      <w:proofErr w:type="spellEnd"/>
      <w:r w:rsidRPr="00D47BB7">
        <w:rPr>
          <w:rFonts w:cstheme="minorHAnsi"/>
          <w:color w:val="201F1E"/>
          <w:shd w:val="clear" w:color="auto" w:fill="FFFFFF"/>
        </w:rPr>
        <w:t xml:space="preserve"> SMRT, Oxford </w:t>
      </w:r>
      <w:proofErr w:type="spellStart"/>
      <w:r w:rsidRPr="00D47BB7">
        <w:rPr>
          <w:rFonts w:cstheme="minorHAnsi"/>
          <w:color w:val="201F1E"/>
          <w:shd w:val="clear" w:color="auto" w:fill="FFFFFF"/>
        </w:rPr>
        <w:t>Nanopore</w:t>
      </w:r>
      <w:proofErr w:type="spellEnd"/>
      <w:r w:rsidRPr="00D47BB7">
        <w:rPr>
          <w:rFonts w:cstheme="minorHAnsi"/>
          <w:color w:val="201F1E"/>
          <w:shd w:val="clear" w:color="auto" w:fill="FFFFFF"/>
        </w:rPr>
        <w:t xml:space="preserve">), zastosowanie sekwencjonowania w medycynie. </w:t>
      </w:r>
    </w:p>
    <w:p w14:paraId="1FE5BF9B" w14:textId="77777777" w:rsidR="00D47BB7" w:rsidRPr="00D47BB7" w:rsidRDefault="00D47BB7" w:rsidP="006B09AB">
      <w:pPr>
        <w:shd w:val="clear" w:color="auto" w:fill="FFFFFF"/>
        <w:spacing w:after="120" w:line="23" w:lineRule="atLeast"/>
        <w:textAlignment w:val="baseline"/>
        <w:rPr>
          <w:rFonts w:cstheme="minorHAnsi"/>
          <w:color w:val="201F1E"/>
          <w:shd w:val="clear" w:color="auto" w:fill="FFFFFF"/>
        </w:rPr>
      </w:pPr>
      <w:r w:rsidRPr="00D47BB7">
        <w:rPr>
          <w:rFonts w:cstheme="minorHAnsi"/>
          <w:color w:val="201F1E"/>
          <w:shd w:val="clear" w:color="auto" w:fill="FFFFFF"/>
        </w:rPr>
        <w:t>Materiały:</w:t>
      </w:r>
    </w:p>
    <w:p w14:paraId="4BF46085" w14:textId="77777777" w:rsidR="00D47BB7" w:rsidRPr="00D47BB7" w:rsidRDefault="00D47BB7" w:rsidP="006B09AB">
      <w:pPr>
        <w:numPr>
          <w:ilvl w:val="0"/>
          <w:numId w:val="9"/>
        </w:numPr>
        <w:shd w:val="clear" w:color="auto" w:fill="FFFFFF"/>
        <w:spacing w:after="120" w:line="23" w:lineRule="atLeast"/>
        <w:textAlignment w:val="baseline"/>
        <w:rPr>
          <w:rFonts w:cstheme="minorHAnsi"/>
          <w:color w:val="201F1E"/>
          <w:shd w:val="clear" w:color="auto" w:fill="FFFFFF"/>
        </w:rPr>
      </w:pPr>
      <w:r w:rsidRPr="00D47BB7">
        <w:rPr>
          <w:rFonts w:cstheme="minorHAnsi"/>
          <w:color w:val="201F1E"/>
          <w:shd w:val="clear" w:color="auto" w:fill="FFFFFF"/>
        </w:rPr>
        <w:t xml:space="preserve">Kurs szybkiego czytania DNA -nowoczesne techniki sekwencjonowania. Kotowska i </w:t>
      </w:r>
      <w:proofErr w:type="spellStart"/>
      <w:r w:rsidRPr="00D47BB7">
        <w:rPr>
          <w:rFonts w:cstheme="minorHAnsi"/>
          <w:color w:val="201F1E"/>
          <w:shd w:val="clear" w:color="auto" w:fill="FFFFFF"/>
        </w:rPr>
        <w:t>wsp</w:t>
      </w:r>
      <w:proofErr w:type="spellEnd"/>
      <w:r w:rsidRPr="00D47BB7">
        <w:rPr>
          <w:rFonts w:cstheme="minorHAnsi"/>
          <w:color w:val="201F1E"/>
          <w:shd w:val="clear" w:color="auto" w:fill="FFFFFF"/>
        </w:rPr>
        <w:t>. Online: https://rcin.org.pl/Content/69093/POZN271_90338_biotechnologia-2010-no4-kotowska.pdf </w:t>
      </w:r>
    </w:p>
    <w:p w14:paraId="01063CBC" w14:textId="779A78DF" w:rsidR="00D47BB7" w:rsidRPr="00D47BB7" w:rsidRDefault="00D47BB7" w:rsidP="006B09AB">
      <w:pPr>
        <w:numPr>
          <w:ilvl w:val="0"/>
          <w:numId w:val="9"/>
        </w:numPr>
        <w:shd w:val="clear" w:color="auto" w:fill="FFFFFF"/>
        <w:spacing w:after="120" w:line="23" w:lineRule="atLeast"/>
        <w:textAlignment w:val="baseline"/>
        <w:rPr>
          <w:rFonts w:cstheme="minorHAnsi"/>
          <w:color w:val="201F1E"/>
          <w:shd w:val="clear" w:color="auto" w:fill="FFFFFF"/>
          <w:lang w:val="en-US"/>
        </w:rPr>
      </w:pPr>
      <w:r w:rsidRPr="00D47BB7">
        <w:rPr>
          <w:rFonts w:cstheme="minorHAnsi"/>
          <w:color w:val="201F1E"/>
          <w:shd w:val="clear" w:color="auto" w:fill="FFFFFF"/>
        </w:rPr>
        <w:t xml:space="preserve">Metody sekwencjonowania nowej generacji oraz ich wykorzystanie w genetyce, hodowli i biotechnologii roślin. Orłowska i </w:t>
      </w:r>
      <w:proofErr w:type="spellStart"/>
      <w:r w:rsidRPr="00D47BB7">
        <w:rPr>
          <w:rFonts w:cstheme="minorHAnsi"/>
          <w:color w:val="201F1E"/>
          <w:shd w:val="clear" w:color="auto" w:fill="FFFFFF"/>
        </w:rPr>
        <w:t>wsp</w:t>
      </w:r>
      <w:proofErr w:type="spellEnd"/>
      <w:r w:rsidRPr="00D47BB7">
        <w:rPr>
          <w:rFonts w:cstheme="minorHAnsi"/>
          <w:color w:val="201F1E"/>
          <w:shd w:val="clear" w:color="auto" w:fill="FFFFFF"/>
        </w:rPr>
        <w:t xml:space="preserve">. </w:t>
      </w:r>
      <w:r w:rsidRPr="00D47BB7">
        <w:rPr>
          <w:rFonts w:cstheme="minorHAnsi"/>
          <w:color w:val="201F1E"/>
          <w:shd w:val="clear" w:color="auto" w:fill="FFFFFF"/>
        </w:rPr>
        <w:br/>
      </w:r>
      <w:r w:rsidRPr="00D47BB7">
        <w:rPr>
          <w:rFonts w:cstheme="minorHAnsi"/>
          <w:color w:val="201F1E"/>
          <w:shd w:val="clear" w:color="auto" w:fill="FFFFFF"/>
          <w:lang w:val="en-US"/>
        </w:rPr>
        <w:t xml:space="preserve">Online: </w:t>
      </w:r>
      <w:hyperlink r:id="rId5" w:history="1">
        <w:r w:rsidRPr="00D47BB7">
          <w:rPr>
            <w:rStyle w:val="Hipercze"/>
            <w:rFonts w:cstheme="minorHAnsi"/>
            <w:shd w:val="clear" w:color="auto" w:fill="FFFFFF"/>
            <w:lang w:val="en-US"/>
          </w:rPr>
          <w:t>https://yadda.icm.edu.pl/baztech/element/bwmeta1.element.baztech-95df8166-731f-4729-8376-9d03a0ef0a4b</w:t>
        </w:r>
      </w:hyperlink>
    </w:p>
    <w:p w14:paraId="34DEAD28" w14:textId="7FEE4664" w:rsidR="00D47BB7" w:rsidRPr="00D47BB7" w:rsidRDefault="00D47BB7" w:rsidP="006B09AB">
      <w:pPr>
        <w:numPr>
          <w:ilvl w:val="0"/>
          <w:numId w:val="9"/>
        </w:numPr>
        <w:shd w:val="clear" w:color="auto" w:fill="FFFFFF"/>
        <w:spacing w:after="120" w:line="23" w:lineRule="atLeast"/>
        <w:textAlignment w:val="baseline"/>
        <w:rPr>
          <w:rFonts w:cstheme="minorHAnsi"/>
          <w:color w:val="201F1E"/>
          <w:shd w:val="clear" w:color="auto" w:fill="FFFFFF"/>
          <w:lang w:val="en-US"/>
        </w:rPr>
      </w:pPr>
      <w:r w:rsidRPr="00D47BB7">
        <w:rPr>
          <w:rFonts w:cstheme="minorHAnsi"/>
          <w:color w:val="201F1E"/>
          <w:shd w:val="clear" w:color="auto" w:fill="FFFFFF"/>
          <w:lang w:val="en-US"/>
        </w:rPr>
        <w:t xml:space="preserve">Qin D. Next-generation sequencing and its clinical application. Cancer Biol Med. 2019;16(1):4-10. doi:10.20892/j.issn.2095-3941.2018.0055 </w:t>
      </w:r>
      <w:hyperlink r:id="rId6" w:history="1">
        <w:r w:rsidRPr="00D47BB7">
          <w:rPr>
            <w:rStyle w:val="Hipercze"/>
            <w:rFonts w:cstheme="minorHAnsi"/>
            <w:shd w:val="clear" w:color="auto" w:fill="FFFFFF"/>
            <w:lang w:val="en-US"/>
          </w:rPr>
          <w:t>https://www.ncbi.nlm.nih.gov/pmc/articles/PMC6528456/</w:t>
        </w:r>
      </w:hyperlink>
      <w:r w:rsidRPr="00D47BB7">
        <w:rPr>
          <w:rFonts w:cstheme="minorHAnsi"/>
          <w:color w:val="201F1E"/>
          <w:shd w:val="clear" w:color="auto" w:fill="FFFFFF"/>
          <w:lang w:val="en-US"/>
        </w:rPr>
        <w:t xml:space="preserve"> </w:t>
      </w:r>
    </w:p>
    <w:p w14:paraId="080C8141" w14:textId="138CC25B" w:rsidR="004B471C" w:rsidRPr="00B75918" w:rsidRDefault="004B471C" w:rsidP="006B09AB">
      <w:pPr>
        <w:shd w:val="clear" w:color="auto" w:fill="FFFFFF"/>
        <w:spacing w:after="120" w:line="23" w:lineRule="atLeast"/>
        <w:textAlignment w:val="baseline"/>
        <w:rPr>
          <w:rFonts w:cstheme="minorHAnsi"/>
          <w:color w:val="201F1E"/>
          <w:lang w:val="en-US"/>
        </w:rPr>
      </w:pPr>
    </w:p>
    <w:p w14:paraId="62C741BA" w14:textId="77777777" w:rsidR="00B75918" w:rsidRPr="00B75918" w:rsidRDefault="00B75918" w:rsidP="006B09AB">
      <w:pPr>
        <w:shd w:val="clear" w:color="auto" w:fill="FFFFFF"/>
        <w:spacing w:after="120" w:line="23" w:lineRule="atLeast"/>
        <w:textAlignment w:val="baseline"/>
        <w:rPr>
          <w:rFonts w:cstheme="minorHAnsi"/>
          <w:color w:val="201F1E"/>
          <w:lang w:val="en-US"/>
        </w:rPr>
      </w:pPr>
    </w:p>
    <w:p w14:paraId="11315ADF" w14:textId="77777777" w:rsidR="004B471C" w:rsidRPr="005A37F2" w:rsidRDefault="004B471C" w:rsidP="006B09AB">
      <w:pPr>
        <w:shd w:val="clear" w:color="auto" w:fill="FF0000"/>
        <w:spacing w:after="120" w:line="23" w:lineRule="atLeast"/>
        <w:textAlignment w:val="baseline"/>
        <w:rPr>
          <w:rFonts w:cstheme="minorHAnsi"/>
          <w:b/>
          <w:color w:val="000000" w:themeColor="text1"/>
          <w:u w:val="single"/>
        </w:rPr>
      </w:pPr>
      <w:r w:rsidRPr="005A37F2">
        <w:rPr>
          <w:rFonts w:cstheme="minorHAnsi"/>
          <w:b/>
          <w:color w:val="000000" w:themeColor="text1"/>
          <w:u w:val="single"/>
        </w:rPr>
        <w:t>Seminarium 2</w:t>
      </w:r>
    </w:p>
    <w:p w14:paraId="116AC7EB" w14:textId="77777777" w:rsidR="00A645D8" w:rsidRDefault="00A645D8" w:rsidP="006B09AB">
      <w:pPr>
        <w:shd w:val="clear" w:color="auto" w:fill="FFFFFF"/>
        <w:spacing w:after="120" w:line="23" w:lineRule="atLeast"/>
        <w:textAlignment w:val="baseline"/>
        <w:rPr>
          <w:rFonts w:eastAsia="Times New Roman" w:cstheme="minorHAnsi"/>
          <w:b/>
          <w:bCs/>
          <w:color w:val="000000"/>
          <w:lang w:eastAsia="pl-PL"/>
        </w:rPr>
      </w:pPr>
    </w:p>
    <w:p w14:paraId="65284FF7" w14:textId="6FE0780F" w:rsidR="00A645D8" w:rsidRPr="00A645D8" w:rsidRDefault="00A645D8" w:rsidP="006B09AB">
      <w:pPr>
        <w:shd w:val="clear" w:color="auto" w:fill="FFFFFF"/>
        <w:spacing w:after="120" w:line="23" w:lineRule="atLeast"/>
        <w:textAlignment w:val="baseline"/>
        <w:rPr>
          <w:rFonts w:eastAsia="Times New Roman" w:cstheme="minorHAnsi"/>
          <w:color w:val="000000"/>
          <w:lang w:eastAsia="pl-PL"/>
        </w:rPr>
      </w:pPr>
      <w:r w:rsidRPr="00A645D8">
        <w:rPr>
          <w:rFonts w:eastAsia="Times New Roman" w:cstheme="minorHAnsi"/>
          <w:b/>
          <w:bCs/>
          <w:color w:val="000000"/>
          <w:lang w:eastAsia="pl-PL"/>
        </w:rPr>
        <w:t xml:space="preserve">Temat </w:t>
      </w:r>
      <w:r w:rsidRPr="00A645D8">
        <w:rPr>
          <w:rFonts w:eastAsia="Times New Roman" w:cstheme="minorHAnsi"/>
          <w:b/>
          <w:bCs/>
          <w:color w:val="000000"/>
          <w:lang w:eastAsia="pl-PL"/>
        </w:rPr>
        <w:t>"Nomenklatura genów, zmian genetycznych"</w:t>
      </w:r>
    </w:p>
    <w:p w14:paraId="5690A33A" w14:textId="77777777" w:rsidR="00A645D8" w:rsidRPr="00A645D8" w:rsidRDefault="00A645D8" w:rsidP="006B09AB">
      <w:pPr>
        <w:shd w:val="clear" w:color="auto" w:fill="FFFFFF"/>
        <w:spacing w:after="120" w:line="23" w:lineRule="atLeast"/>
        <w:textAlignment w:val="baseline"/>
        <w:rPr>
          <w:rFonts w:eastAsia="Times New Roman" w:cstheme="minorHAnsi"/>
          <w:color w:val="000000"/>
          <w:lang w:eastAsia="pl-PL"/>
        </w:rPr>
      </w:pPr>
      <w:r w:rsidRPr="00A645D8">
        <w:rPr>
          <w:rFonts w:eastAsia="Times New Roman" w:cstheme="minorHAnsi"/>
          <w:color w:val="000000"/>
          <w:lang w:eastAsia="pl-PL"/>
        </w:rPr>
        <w:t> </w:t>
      </w:r>
    </w:p>
    <w:p w14:paraId="05D2D026" w14:textId="77777777" w:rsidR="00A645D8" w:rsidRPr="00A645D8" w:rsidRDefault="00A645D8" w:rsidP="006B09AB">
      <w:pPr>
        <w:shd w:val="clear" w:color="auto" w:fill="FFFFFF"/>
        <w:spacing w:after="120" w:line="23" w:lineRule="atLeast"/>
        <w:textAlignment w:val="baseline"/>
        <w:rPr>
          <w:rFonts w:eastAsia="Times New Roman" w:cstheme="minorHAnsi"/>
          <w:color w:val="000000"/>
          <w:lang w:eastAsia="pl-PL"/>
        </w:rPr>
      </w:pPr>
      <w:r w:rsidRPr="00A645D8">
        <w:rPr>
          <w:rFonts w:eastAsia="Times New Roman" w:cstheme="minorHAnsi"/>
          <w:color w:val="000000"/>
          <w:lang w:eastAsia="pl-PL"/>
        </w:rPr>
        <w:t>Zagadnienia:</w:t>
      </w:r>
    </w:p>
    <w:p w14:paraId="038800C0" w14:textId="77777777" w:rsidR="00A645D8" w:rsidRPr="00A645D8" w:rsidRDefault="00A645D8" w:rsidP="006B09AB">
      <w:pPr>
        <w:numPr>
          <w:ilvl w:val="0"/>
          <w:numId w:val="7"/>
        </w:numPr>
        <w:shd w:val="clear" w:color="auto" w:fill="FFFFFF"/>
        <w:spacing w:before="100" w:beforeAutospacing="1" w:after="120" w:line="23" w:lineRule="atLeast"/>
        <w:textAlignment w:val="baseline"/>
        <w:rPr>
          <w:rFonts w:eastAsia="Times New Roman" w:cstheme="minorHAnsi"/>
          <w:color w:val="000000"/>
          <w:lang w:eastAsia="pl-PL"/>
        </w:rPr>
      </w:pPr>
      <w:r w:rsidRPr="00A645D8">
        <w:rPr>
          <w:rFonts w:eastAsia="Times New Roman" w:cstheme="minorHAnsi"/>
          <w:color w:val="000000"/>
          <w:lang w:eastAsia="pl-PL"/>
        </w:rPr>
        <w:t xml:space="preserve">Podstawowe pojęcia: gen, </w:t>
      </w:r>
      <w:proofErr w:type="spellStart"/>
      <w:r w:rsidRPr="00A645D8">
        <w:rPr>
          <w:rFonts w:eastAsia="Times New Roman" w:cstheme="minorHAnsi"/>
          <w:color w:val="000000"/>
          <w:lang w:eastAsia="pl-PL"/>
        </w:rPr>
        <w:t>locus</w:t>
      </w:r>
      <w:proofErr w:type="spellEnd"/>
      <w:r w:rsidRPr="00A645D8">
        <w:rPr>
          <w:rFonts w:eastAsia="Times New Roman" w:cstheme="minorHAnsi"/>
          <w:color w:val="000000"/>
          <w:lang w:eastAsia="pl-PL"/>
        </w:rPr>
        <w:t xml:space="preserve">, </w:t>
      </w:r>
      <w:proofErr w:type="spellStart"/>
      <w:r w:rsidRPr="00A645D8">
        <w:rPr>
          <w:rFonts w:eastAsia="Times New Roman" w:cstheme="minorHAnsi"/>
          <w:color w:val="000000"/>
          <w:lang w:eastAsia="pl-PL"/>
        </w:rPr>
        <w:t>allel</w:t>
      </w:r>
      <w:proofErr w:type="spellEnd"/>
      <w:r w:rsidRPr="00A645D8">
        <w:rPr>
          <w:rFonts w:eastAsia="Times New Roman" w:cstheme="minorHAnsi"/>
          <w:color w:val="000000"/>
          <w:lang w:eastAsia="pl-PL"/>
        </w:rPr>
        <w:t xml:space="preserve">, </w:t>
      </w:r>
      <w:proofErr w:type="spellStart"/>
      <w:r w:rsidRPr="00A645D8">
        <w:rPr>
          <w:rFonts w:eastAsia="Times New Roman" w:cstheme="minorHAnsi"/>
          <w:color w:val="000000"/>
          <w:lang w:eastAsia="pl-PL"/>
        </w:rPr>
        <w:t>transkrypt</w:t>
      </w:r>
      <w:proofErr w:type="spellEnd"/>
      <w:r w:rsidRPr="00A645D8">
        <w:rPr>
          <w:rFonts w:eastAsia="Times New Roman" w:cstheme="minorHAnsi"/>
          <w:color w:val="000000"/>
          <w:lang w:eastAsia="pl-PL"/>
        </w:rPr>
        <w:t>, pseudogen, gen kodujący białko i gen niekodującego RNA.</w:t>
      </w:r>
    </w:p>
    <w:p w14:paraId="1391690B" w14:textId="77777777" w:rsidR="00A645D8" w:rsidRPr="00A645D8" w:rsidRDefault="00A645D8" w:rsidP="006B09AB">
      <w:pPr>
        <w:numPr>
          <w:ilvl w:val="0"/>
          <w:numId w:val="7"/>
        </w:numPr>
        <w:shd w:val="clear" w:color="auto" w:fill="FFFFFF"/>
        <w:spacing w:before="100" w:beforeAutospacing="1" w:after="120" w:line="23" w:lineRule="atLeast"/>
        <w:textAlignment w:val="baseline"/>
        <w:rPr>
          <w:rFonts w:eastAsia="Times New Roman" w:cstheme="minorHAnsi"/>
          <w:color w:val="000000"/>
          <w:lang w:eastAsia="pl-PL"/>
        </w:rPr>
      </w:pPr>
      <w:r w:rsidRPr="00A645D8">
        <w:rPr>
          <w:rFonts w:eastAsia="Times New Roman" w:cstheme="minorHAnsi"/>
          <w:color w:val="000000"/>
          <w:lang w:eastAsia="pl-PL"/>
        </w:rPr>
        <w:t>Zasady nazewnictwa genów człowieka i ich produktów: nazwy, symbole, aliasy, rodziny genowe oraz korzystanie z bazy HGNC.</w:t>
      </w:r>
    </w:p>
    <w:p w14:paraId="4C7793AD" w14:textId="77777777" w:rsidR="00A645D8" w:rsidRPr="00A645D8" w:rsidRDefault="00A645D8" w:rsidP="006B09AB">
      <w:pPr>
        <w:numPr>
          <w:ilvl w:val="0"/>
          <w:numId w:val="7"/>
        </w:numPr>
        <w:shd w:val="clear" w:color="auto" w:fill="FFFFFF"/>
        <w:spacing w:before="100" w:beforeAutospacing="1" w:after="120" w:line="23" w:lineRule="atLeast"/>
        <w:textAlignment w:val="baseline"/>
        <w:rPr>
          <w:rFonts w:eastAsia="Times New Roman" w:cstheme="minorHAnsi"/>
          <w:color w:val="000000"/>
          <w:lang w:eastAsia="pl-PL"/>
        </w:rPr>
      </w:pPr>
      <w:r w:rsidRPr="00A645D8">
        <w:rPr>
          <w:rFonts w:eastAsia="Times New Roman" w:cstheme="minorHAnsi"/>
          <w:color w:val="000000"/>
          <w:lang w:eastAsia="pl-PL"/>
        </w:rPr>
        <w:t>Sekwencje referencyjne i budowa opisu wariantu HGVS: identyfikator, wersja sekwencji oraz prefiksy g., c., n., m., r. i p..</w:t>
      </w:r>
    </w:p>
    <w:p w14:paraId="22693508" w14:textId="77777777" w:rsidR="00A645D8" w:rsidRPr="00A645D8" w:rsidRDefault="00A645D8" w:rsidP="006B09AB">
      <w:pPr>
        <w:numPr>
          <w:ilvl w:val="0"/>
          <w:numId w:val="7"/>
        </w:numPr>
        <w:shd w:val="clear" w:color="auto" w:fill="FFFFFF"/>
        <w:spacing w:before="100" w:beforeAutospacing="1" w:after="120" w:line="23" w:lineRule="atLeast"/>
        <w:textAlignment w:val="baseline"/>
        <w:rPr>
          <w:rFonts w:eastAsia="Times New Roman" w:cstheme="minorHAnsi"/>
          <w:color w:val="000000"/>
          <w:lang w:eastAsia="pl-PL"/>
        </w:rPr>
      </w:pPr>
      <w:r w:rsidRPr="00A645D8">
        <w:rPr>
          <w:rFonts w:eastAsia="Times New Roman" w:cstheme="minorHAnsi"/>
          <w:color w:val="000000"/>
          <w:lang w:eastAsia="pl-PL"/>
        </w:rPr>
        <w:t xml:space="preserve">Numeracja nukleotydów i aminokwasów: region kodujący, regiony 5′ UTR i 3′ UTR, </w:t>
      </w:r>
      <w:proofErr w:type="spellStart"/>
      <w:r w:rsidRPr="00A645D8">
        <w:rPr>
          <w:rFonts w:eastAsia="Times New Roman" w:cstheme="minorHAnsi"/>
          <w:color w:val="000000"/>
          <w:lang w:eastAsia="pl-PL"/>
        </w:rPr>
        <w:t>eksony</w:t>
      </w:r>
      <w:proofErr w:type="spellEnd"/>
      <w:r w:rsidRPr="00A645D8">
        <w:rPr>
          <w:rFonts w:eastAsia="Times New Roman" w:cstheme="minorHAnsi"/>
          <w:color w:val="000000"/>
          <w:lang w:eastAsia="pl-PL"/>
        </w:rPr>
        <w:t xml:space="preserve"> oraz introny.</w:t>
      </w:r>
    </w:p>
    <w:p w14:paraId="39243DF0" w14:textId="77777777" w:rsidR="00A645D8" w:rsidRPr="00A645D8" w:rsidRDefault="00A645D8" w:rsidP="006B09AB">
      <w:pPr>
        <w:numPr>
          <w:ilvl w:val="0"/>
          <w:numId w:val="7"/>
        </w:numPr>
        <w:shd w:val="clear" w:color="auto" w:fill="FFFFFF"/>
        <w:spacing w:before="100" w:beforeAutospacing="1" w:after="120" w:line="23" w:lineRule="atLeast"/>
        <w:textAlignment w:val="baseline"/>
        <w:rPr>
          <w:rFonts w:eastAsia="Times New Roman" w:cstheme="minorHAnsi"/>
          <w:color w:val="000000"/>
          <w:lang w:eastAsia="pl-PL"/>
        </w:rPr>
      </w:pPr>
      <w:r w:rsidRPr="00A645D8">
        <w:rPr>
          <w:rFonts w:eastAsia="Times New Roman" w:cstheme="minorHAnsi"/>
          <w:color w:val="000000"/>
          <w:lang w:eastAsia="pl-PL"/>
        </w:rPr>
        <w:t xml:space="preserve">Nazewnictwo zmian na poziomie DNA: substytucje, delecje, duplikacje, insercje, </w:t>
      </w:r>
      <w:proofErr w:type="spellStart"/>
      <w:r w:rsidRPr="00A645D8">
        <w:rPr>
          <w:rFonts w:eastAsia="Times New Roman" w:cstheme="minorHAnsi"/>
          <w:color w:val="000000"/>
          <w:lang w:eastAsia="pl-PL"/>
        </w:rPr>
        <w:t>delins</w:t>
      </w:r>
      <w:proofErr w:type="spellEnd"/>
      <w:r w:rsidRPr="00A645D8">
        <w:rPr>
          <w:rFonts w:eastAsia="Times New Roman" w:cstheme="minorHAnsi"/>
          <w:color w:val="000000"/>
          <w:lang w:eastAsia="pl-PL"/>
        </w:rPr>
        <w:t>, inwersje, sekwencje powtórzone.</w:t>
      </w:r>
    </w:p>
    <w:p w14:paraId="3E68E559" w14:textId="77777777" w:rsidR="00A645D8" w:rsidRPr="00A645D8" w:rsidRDefault="00A645D8" w:rsidP="006B09AB">
      <w:pPr>
        <w:numPr>
          <w:ilvl w:val="0"/>
          <w:numId w:val="7"/>
        </w:numPr>
        <w:shd w:val="clear" w:color="auto" w:fill="FFFFFF"/>
        <w:spacing w:before="100" w:beforeAutospacing="1" w:after="120" w:line="23" w:lineRule="atLeast"/>
        <w:textAlignment w:val="baseline"/>
        <w:rPr>
          <w:rFonts w:eastAsia="Times New Roman" w:cstheme="minorHAnsi"/>
          <w:color w:val="000000"/>
          <w:lang w:eastAsia="pl-PL"/>
        </w:rPr>
      </w:pPr>
      <w:r w:rsidRPr="00A645D8">
        <w:rPr>
          <w:rFonts w:eastAsia="Times New Roman" w:cstheme="minorHAnsi"/>
          <w:color w:val="000000"/>
          <w:lang w:eastAsia="pl-PL"/>
        </w:rPr>
        <w:t>Zapis wariantów na allelach</w:t>
      </w:r>
    </w:p>
    <w:p w14:paraId="593353E8" w14:textId="77777777" w:rsidR="00A645D8" w:rsidRPr="00A645D8" w:rsidRDefault="00A645D8" w:rsidP="006B09AB">
      <w:pPr>
        <w:numPr>
          <w:ilvl w:val="0"/>
          <w:numId w:val="7"/>
        </w:numPr>
        <w:shd w:val="clear" w:color="auto" w:fill="FFFFFF"/>
        <w:spacing w:before="100" w:beforeAutospacing="1" w:after="120" w:line="23" w:lineRule="atLeast"/>
        <w:textAlignment w:val="baseline"/>
        <w:rPr>
          <w:rFonts w:eastAsia="Times New Roman" w:cstheme="minorHAnsi"/>
          <w:color w:val="000000"/>
          <w:lang w:eastAsia="pl-PL"/>
        </w:rPr>
      </w:pPr>
      <w:r w:rsidRPr="00A645D8">
        <w:rPr>
          <w:rFonts w:eastAsia="Times New Roman" w:cstheme="minorHAnsi"/>
          <w:color w:val="000000"/>
          <w:lang w:eastAsia="pl-PL"/>
        </w:rPr>
        <w:t>Nazewnictwo zmian na poziomie RNA i białka: zmiany aminokwasowe, kodon STOP, przesunięcie ramki odczytu oraz skutki potwierdzone doświadczalnie i przewidywane.</w:t>
      </w:r>
    </w:p>
    <w:p w14:paraId="2126DD8D" w14:textId="77777777" w:rsidR="00A645D8" w:rsidRPr="00A645D8" w:rsidRDefault="00A645D8" w:rsidP="006B09AB">
      <w:pPr>
        <w:numPr>
          <w:ilvl w:val="0"/>
          <w:numId w:val="7"/>
        </w:numPr>
        <w:shd w:val="clear" w:color="auto" w:fill="FFFFFF"/>
        <w:spacing w:before="100" w:beforeAutospacing="1" w:after="120" w:line="23" w:lineRule="atLeast"/>
        <w:textAlignment w:val="baseline"/>
        <w:rPr>
          <w:rFonts w:eastAsia="Times New Roman" w:cstheme="minorHAnsi"/>
          <w:color w:val="000000"/>
          <w:lang w:eastAsia="pl-PL"/>
        </w:rPr>
      </w:pPr>
      <w:r w:rsidRPr="00A645D8">
        <w:rPr>
          <w:rFonts w:eastAsia="Times New Roman" w:cstheme="minorHAnsi"/>
          <w:color w:val="000000"/>
          <w:lang w:eastAsia="pl-PL"/>
        </w:rPr>
        <w:t>Opis wariantu a jego znaczenie kliniczne: terminologia wariantów oraz podstawowe klasy patogenności według ACMG/AMP.</w:t>
      </w:r>
    </w:p>
    <w:p w14:paraId="6B0E1DC5" w14:textId="77777777" w:rsidR="00A645D8" w:rsidRPr="00A645D8" w:rsidRDefault="00A645D8" w:rsidP="006B09AB">
      <w:pPr>
        <w:numPr>
          <w:ilvl w:val="0"/>
          <w:numId w:val="7"/>
        </w:numPr>
        <w:shd w:val="clear" w:color="auto" w:fill="FFFFFF"/>
        <w:spacing w:before="100" w:beforeAutospacing="1" w:after="120" w:line="23" w:lineRule="atLeast"/>
        <w:textAlignment w:val="baseline"/>
        <w:rPr>
          <w:rFonts w:eastAsia="Times New Roman" w:cstheme="minorHAnsi"/>
          <w:color w:val="000000"/>
          <w:lang w:eastAsia="pl-PL"/>
        </w:rPr>
      </w:pPr>
      <w:r w:rsidRPr="00A645D8">
        <w:rPr>
          <w:rFonts w:eastAsia="Times New Roman" w:cstheme="minorHAnsi"/>
          <w:color w:val="000000"/>
          <w:lang w:eastAsia="pl-PL"/>
        </w:rPr>
        <w:t>Interpretacja i ocena poprawności zapisów HGVS: odczytywanie przykładów, rozpoznawanie błędów i identyfikacja informacji niezbędnych do jednoznacznego opisu wariantu.</w:t>
      </w:r>
    </w:p>
    <w:p w14:paraId="17990D93" w14:textId="77777777" w:rsidR="00A645D8" w:rsidRPr="00A645D8" w:rsidRDefault="00A645D8" w:rsidP="006B09AB">
      <w:pPr>
        <w:shd w:val="clear" w:color="auto" w:fill="FFFFFF"/>
        <w:spacing w:after="120" w:line="23" w:lineRule="atLeast"/>
        <w:textAlignment w:val="baseline"/>
        <w:rPr>
          <w:rFonts w:eastAsia="Times New Roman" w:cstheme="minorHAnsi"/>
          <w:color w:val="000000"/>
          <w:lang w:eastAsia="pl-PL"/>
        </w:rPr>
      </w:pPr>
      <w:r w:rsidRPr="00A645D8">
        <w:rPr>
          <w:rFonts w:eastAsia="Times New Roman" w:cstheme="minorHAnsi"/>
          <w:color w:val="000000"/>
          <w:lang w:eastAsia="pl-PL"/>
        </w:rPr>
        <w:t>Materiały uzupełniające:</w:t>
      </w:r>
    </w:p>
    <w:p w14:paraId="65AA6F61" w14:textId="77777777" w:rsidR="00A645D8" w:rsidRPr="00A645D8" w:rsidRDefault="00A645D8" w:rsidP="006B09AB">
      <w:pPr>
        <w:numPr>
          <w:ilvl w:val="0"/>
          <w:numId w:val="8"/>
        </w:numPr>
        <w:shd w:val="clear" w:color="auto" w:fill="FFFFFF"/>
        <w:spacing w:beforeAutospacing="1" w:after="120" w:line="23" w:lineRule="atLeast"/>
        <w:textAlignment w:val="baseline"/>
        <w:rPr>
          <w:rFonts w:eastAsia="Times New Roman" w:cstheme="minorHAnsi"/>
          <w:color w:val="000000"/>
          <w:lang w:eastAsia="pl-PL"/>
        </w:rPr>
      </w:pPr>
      <w:r w:rsidRPr="00A645D8">
        <w:rPr>
          <w:rFonts w:eastAsia="Times New Roman" w:cstheme="minorHAnsi"/>
          <w:b/>
          <w:bCs/>
          <w:color w:val="000000"/>
          <w:lang w:val="en-US" w:eastAsia="pl-PL"/>
        </w:rPr>
        <w:t>HUGO Gene Nomenclature Committee (HGNC).</w:t>
      </w:r>
      <w:r w:rsidRPr="00A645D8">
        <w:rPr>
          <w:rFonts w:eastAsia="Times New Roman" w:cstheme="minorHAnsi"/>
          <w:color w:val="000000"/>
          <w:lang w:val="en-US" w:eastAsia="pl-PL"/>
        </w:rPr>
        <w:t xml:space="preserve"> Guidelines for Human Gene Nomenclature. </w:t>
      </w:r>
      <w:r w:rsidRPr="00A645D8">
        <w:rPr>
          <w:rFonts w:eastAsia="Times New Roman" w:cstheme="minorHAnsi"/>
          <w:color w:val="000000"/>
          <w:lang w:eastAsia="pl-PL"/>
        </w:rPr>
        <w:t xml:space="preserve">Zasady tworzenia i zapisu nazw oraz symboli genów </w:t>
      </w:r>
      <w:proofErr w:type="spellStart"/>
      <w:r w:rsidRPr="00A645D8">
        <w:rPr>
          <w:rFonts w:eastAsia="Times New Roman" w:cstheme="minorHAnsi"/>
          <w:color w:val="000000"/>
          <w:lang w:eastAsia="pl-PL"/>
        </w:rPr>
        <w:t>człowieka.</w:t>
      </w:r>
      <w:hyperlink r:id="rId7" w:tgtFrame="_blank" w:tooltip="https://pmc.ncbi.nlm.nih.gov/articles/PMC8550944/" w:history="1">
        <w:r w:rsidRPr="00A645D8">
          <w:rPr>
            <w:rFonts w:eastAsia="Times New Roman" w:cstheme="minorHAnsi"/>
            <w:color w:val="0000FF"/>
            <w:u w:val="single"/>
            <w:bdr w:val="none" w:sz="0" w:space="0" w:color="auto" w:frame="1"/>
            <w:lang w:eastAsia="pl-PL"/>
          </w:rPr>
          <w:t>pmc.ncbi.nlm.nih</w:t>
        </w:r>
        <w:proofErr w:type="spellEnd"/>
      </w:hyperlink>
    </w:p>
    <w:p w14:paraId="567FD82B" w14:textId="77777777" w:rsidR="00A645D8" w:rsidRPr="00A645D8" w:rsidRDefault="00A645D8" w:rsidP="006B09AB">
      <w:pPr>
        <w:numPr>
          <w:ilvl w:val="0"/>
          <w:numId w:val="8"/>
        </w:numPr>
        <w:shd w:val="clear" w:color="auto" w:fill="FFFFFF"/>
        <w:spacing w:beforeAutospacing="1" w:after="120" w:line="23" w:lineRule="atLeast"/>
        <w:textAlignment w:val="baseline"/>
        <w:rPr>
          <w:rFonts w:eastAsia="Times New Roman" w:cstheme="minorHAnsi"/>
          <w:color w:val="000000"/>
          <w:lang w:eastAsia="pl-PL"/>
        </w:rPr>
      </w:pPr>
      <w:r w:rsidRPr="00A645D8">
        <w:rPr>
          <w:rFonts w:eastAsia="Times New Roman" w:cstheme="minorHAnsi"/>
          <w:b/>
          <w:bCs/>
          <w:color w:val="000000"/>
          <w:lang w:val="en-US" w:eastAsia="pl-PL"/>
        </w:rPr>
        <w:t>HGVS Nomenclature.</w:t>
      </w:r>
      <w:r w:rsidRPr="00A645D8">
        <w:rPr>
          <w:rFonts w:eastAsia="Times New Roman" w:cstheme="minorHAnsi"/>
          <w:color w:val="000000"/>
          <w:lang w:val="en-US" w:eastAsia="pl-PL"/>
        </w:rPr>
        <w:t xml:space="preserve"> Recommendations for the Description of Sequence Variants. </w:t>
      </w:r>
      <w:r w:rsidRPr="00A645D8">
        <w:rPr>
          <w:rFonts w:eastAsia="Times New Roman" w:cstheme="minorHAnsi"/>
          <w:color w:val="000000"/>
          <w:lang w:eastAsia="pl-PL"/>
        </w:rPr>
        <w:t xml:space="preserve">Zasady opisywania wariantów na poziomie DNA, RNA i białka wraz z </w:t>
      </w:r>
      <w:proofErr w:type="spellStart"/>
      <w:r w:rsidRPr="00A645D8">
        <w:rPr>
          <w:rFonts w:eastAsia="Times New Roman" w:cstheme="minorHAnsi"/>
          <w:color w:val="000000"/>
          <w:lang w:eastAsia="pl-PL"/>
        </w:rPr>
        <w:t>przykładami.</w:t>
      </w:r>
      <w:hyperlink r:id="rId8" w:tgtFrame="_blank" w:tooltip="https://hgvs-nomenclature.org/recommendations/general/" w:history="1">
        <w:r w:rsidRPr="00A645D8">
          <w:rPr>
            <w:rFonts w:eastAsia="Times New Roman" w:cstheme="minorHAnsi"/>
            <w:color w:val="0000FF"/>
            <w:u w:val="single"/>
            <w:bdr w:val="none" w:sz="0" w:space="0" w:color="auto" w:frame="1"/>
            <w:lang w:eastAsia="pl-PL"/>
          </w:rPr>
          <w:t>hgvs-nomenclature</w:t>
        </w:r>
        <w:proofErr w:type="spellEnd"/>
      </w:hyperlink>
    </w:p>
    <w:p w14:paraId="0194D419" w14:textId="77777777" w:rsidR="00A645D8" w:rsidRPr="00A645D8" w:rsidRDefault="00A645D8" w:rsidP="006B09AB">
      <w:pPr>
        <w:numPr>
          <w:ilvl w:val="0"/>
          <w:numId w:val="8"/>
        </w:numPr>
        <w:shd w:val="clear" w:color="auto" w:fill="FFFFFF"/>
        <w:spacing w:before="100" w:beforeAutospacing="1" w:after="120" w:line="23" w:lineRule="atLeast"/>
        <w:textAlignment w:val="baseline"/>
        <w:rPr>
          <w:rFonts w:eastAsia="Times New Roman" w:cstheme="minorHAnsi"/>
          <w:color w:val="000000"/>
          <w:lang w:eastAsia="pl-PL"/>
        </w:rPr>
      </w:pPr>
      <w:r w:rsidRPr="00A645D8">
        <w:rPr>
          <w:rFonts w:eastAsia="Times New Roman" w:cstheme="minorHAnsi"/>
          <w:b/>
          <w:bCs/>
          <w:color w:val="000000"/>
          <w:lang w:val="en-US" w:eastAsia="pl-PL"/>
        </w:rPr>
        <w:t xml:space="preserve">Richards S. </w:t>
      </w:r>
      <w:proofErr w:type="spellStart"/>
      <w:r w:rsidRPr="00A645D8">
        <w:rPr>
          <w:rFonts w:eastAsia="Times New Roman" w:cstheme="minorHAnsi"/>
          <w:b/>
          <w:bCs/>
          <w:color w:val="000000"/>
          <w:lang w:val="en-US" w:eastAsia="pl-PL"/>
        </w:rPr>
        <w:t>i</w:t>
      </w:r>
      <w:proofErr w:type="spellEnd"/>
      <w:r w:rsidRPr="00A645D8">
        <w:rPr>
          <w:rFonts w:eastAsia="Times New Roman" w:cstheme="minorHAnsi"/>
          <w:b/>
          <w:bCs/>
          <w:color w:val="000000"/>
          <w:lang w:val="en-US" w:eastAsia="pl-PL"/>
        </w:rPr>
        <w:t xml:space="preserve"> </w:t>
      </w:r>
      <w:proofErr w:type="spellStart"/>
      <w:r w:rsidRPr="00A645D8">
        <w:rPr>
          <w:rFonts w:eastAsia="Times New Roman" w:cstheme="minorHAnsi"/>
          <w:b/>
          <w:bCs/>
          <w:color w:val="000000"/>
          <w:lang w:val="en-US" w:eastAsia="pl-PL"/>
        </w:rPr>
        <w:t>wsp</w:t>
      </w:r>
      <w:proofErr w:type="spellEnd"/>
      <w:r w:rsidRPr="00A645D8">
        <w:rPr>
          <w:rFonts w:eastAsia="Times New Roman" w:cstheme="minorHAnsi"/>
          <w:b/>
          <w:bCs/>
          <w:color w:val="000000"/>
          <w:lang w:val="en-US" w:eastAsia="pl-PL"/>
        </w:rPr>
        <w:t>. (2015).</w:t>
      </w:r>
      <w:r w:rsidRPr="00A645D8">
        <w:rPr>
          <w:rFonts w:eastAsia="Times New Roman" w:cstheme="minorHAnsi"/>
          <w:color w:val="000000"/>
          <w:lang w:val="en-US" w:eastAsia="pl-PL"/>
        </w:rPr>
        <w:t xml:space="preserve"> Standards and guidelines for the interpretation of sequence variants: a joint consensus recommendation of the ACMG and AMP. </w:t>
      </w:r>
      <w:r w:rsidRPr="00A645D8">
        <w:rPr>
          <w:rFonts w:eastAsia="Times New Roman" w:cstheme="minorHAnsi"/>
          <w:color w:val="000000"/>
          <w:lang w:eastAsia="pl-PL"/>
        </w:rPr>
        <w:t xml:space="preserve">„Genetics in </w:t>
      </w:r>
      <w:proofErr w:type="spellStart"/>
      <w:r w:rsidRPr="00A645D8">
        <w:rPr>
          <w:rFonts w:eastAsia="Times New Roman" w:cstheme="minorHAnsi"/>
          <w:color w:val="000000"/>
          <w:lang w:eastAsia="pl-PL"/>
        </w:rPr>
        <w:t>Medicine</w:t>
      </w:r>
      <w:proofErr w:type="spellEnd"/>
      <w:r w:rsidRPr="00A645D8">
        <w:rPr>
          <w:rFonts w:eastAsia="Times New Roman" w:cstheme="minorHAnsi"/>
          <w:color w:val="000000"/>
          <w:lang w:eastAsia="pl-PL"/>
        </w:rPr>
        <w:t>”. Podstawy klasyfikacji znaczenia klinicznego wariantów, uzupełniające zasady ich nazewnictwa.</w:t>
      </w:r>
    </w:p>
    <w:p w14:paraId="5200E84C" w14:textId="77777777" w:rsidR="004B471C" w:rsidRPr="004B471C" w:rsidRDefault="004B471C" w:rsidP="006B09AB">
      <w:pPr>
        <w:spacing w:after="120" w:line="23" w:lineRule="atLeast"/>
        <w:rPr>
          <w:rFonts w:cstheme="minorHAnsi"/>
        </w:rPr>
      </w:pPr>
    </w:p>
    <w:p w14:paraId="07DC8D2B" w14:textId="77777777" w:rsidR="004B471C" w:rsidRPr="004B471C" w:rsidRDefault="004B471C" w:rsidP="006B09AB">
      <w:pPr>
        <w:shd w:val="clear" w:color="auto" w:fill="92D050"/>
        <w:spacing w:after="120" w:line="23" w:lineRule="atLeast"/>
        <w:rPr>
          <w:rFonts w:cstheme="minorHAnsi"/>
          <w:b/>
          <w:u w:val="single"/>
        </w:rPr>
      </w:pPr>
      <w:r w:rsidRPr="004B471C">
        <w:rPr>
          <w:rFonts w:cstheme="minorHAnsi"/>
          <w:b/>
          <w:u w:val="single"/>
        </w:rPr>
        <w:t>Seminarium 3</w:t>
      </w:r>
    </w:p>
    <w:p w14:paraId="33207121" w14:textId="77777777" w:rsidR="004B471C" w:rsidRDefault="004B471C" w:rsidP="006B09AB">
      <w:pPr>
        <w:spacing w:after="120" w:line="23" w:lineRule="atLeast"/>
        <w:rPr>
          <w:rFonts w:cstheme="minorHAnsi"/>
          <w:b/>
          <w:bCs/>
        </w:rPr>
      </w:pPr>
      <w:r w:rsidRPr="003806E8">
        <w:rPr>
          <w:rFonts w:cstheme="minorHAnsi"/>
          <w:b/>
          <w:bCs/>
        </w:rPr>
        <w:t xml:space="preserve">Temat: „Praktyczne aspekty </w:t>
      </w:r>
      <w:proofErr w:type="spellStart"/>
      <w:r w:rsidRPr="003806E8">
        <w:rPr>
          <w:rFonts w:cstheme="minorHAnsi"/>
          <w:b/>
          <w:bCs/>
        </w:rPr>
        <w:t>farmakogenetyki</w:t>
      </w:r>
      <w:proofErr w:type="spellEnd"/>
      <w:r w:rsidRPr="003806E8">
        <w:rPr>
          <w:rFonts w:cstheme="minorHAnsi"/>
          <w:b/>
          <w:bCs/>
        </w:rPr>
        <w:t>”</w:t>
      </w:r>
    </w:p>
    <w:p w14:paraId="4C91F561" w14:textId="2A13BE2D" w:rsidR="00E935CA" w:rsidRDefault="00E935CA" w:rsidP="006B09AB">
      <w:pPr>
        <w:spacing w:after="120" w:line="23" w:lineRule="atLeast"/>
        <w:rPr>
          <w:rFonts w:cstheme="minorHAnsi"/>
        </w:rPr>
      </w:pPr>
      <w:r>
        <w:rPr>
          <w:rFonts w:cstheme="minorHAnsi"/>
        </w:rPr>
        <w:t xml:space="preserve">Zagadnienia: </w:t>
      </w:r>
    </w:p>
    <w:p w14:paraId="56C8ECA7" w14:textId="77777777" w:rsidR="004166FF" w:rsidRPr="004166FF" w:rsidRDefault="004166FF" w:rsidP="004166FF">
      <w:pPr>
        <w:numPr>
          <w:ilvl w:val="0"/>
          <w:numId w:val="10"/>
        </w:numPr>
        <w:spacing w:after="120" w:line="23" w:lineRule="atLeast"/>
        <w:rPr>
          <w:rFonts w:cstheme="minorHAnsi"/>
        </w:rPr>
      </w:pPr>
      <w:r w:rsidRPr="004166FF">
        <w:rPr>
          <w:rFonts w:cstheme="minorHAnsi"/>
        </w:rPr>
        <w:t xml:space="preserve">Kliniczne znaczenie </w:t>
      </w:r>
      <w:proofErr w:type="spellStart"/>
      <w:r w:rsidRPr="004166FF">
        <w:rPr>
          <w:rFonts w:cstheme="minorHAnsi"/>
        </w:rPr>
        <w:t>farmakogenetyki</w:t>
      </w:r>
      <w:proofErr w:type="spellEnd"/>
    </w:p>
    <w:p w14:paraId="752BA4D2" w14:textId="77777777" w:rsidR="004166FF" w:rsidRPr="004166FF" w:rsidRDefault="004166FF" w:rsidP="004166FF">
      <w:pPr>
        <w:numPr>
          <w:ilvl w:val="0"/>
          <w:numId w:val="10"/>
        </w:numPr>
        <w:spacing w:after="120" w:line="23" w:lineRule="atLeast"/>
        <w:rPr>
          <w:rFonts w:cstheme="minorHAnsi"/>
        </w:rPr>
      </w:pPr>
      <w:proofErr w:type="spellStart"/>
      <w:r w:rsidRPr="004166FF">
        <w:rPr>
          <w:rFonts w:cstheme="minorHAnsi"/>
        </w:rPr>
        <w:t>Farmakogenetyka</w:t>
      </w:r>
      <w:proofErr w:type="spellEnd"/>
      <w:r w:rsidRPr="004166FF">
        <w:rPr>
          <w:rFonts w:cstheme="minorHAnsi"/>
        </w:rPr>
        <w:t xml:space="preserve"> – znaczenie w chemioterapii raka jelita grubego</w:t>
      </w:r>
    </w:p>
    <w:p w14:paraId="265F0A8C" w14:textId="77777777" w:rsidR="004166FF" w:rsidRPr="004166FF" w:rsidRDefault="004166FF" w:rsidP="004166FF">
      <w:pPr>
        <w:numPr>
          <w:ilvl w:val="0"/>
          <w:numId w:val="10"/>
        </w:numPr>
        <w:spacing w:after="120" w:line="23" w:lineRule="atLeast"/>
        <w:rPr>
          <w:rFonts w:cstheme="minorHAnsi"/>
        </w:rPr>
      </w:pPr>
      <w:r w:rsidRPr="004166FF">
        <w:rPr>
          <w:rFonts w:cstheme="minorHAnsi"/>
        </w:rPr>
        <w:t xml:space="preserve">Aspekty </w:t>
      </w:r>
      <w:proofErr w:type="spellStart"/>
      <w:r w:rsidRPr="004166FF">
        <w:rPr>
          <w:rFonts w:cstheme="minorHAnsi"/>
        </w:rPr>
        <w:t>farmakogenetyczne</w:t>
      </w:r>
      <w:proofErr w:type="spellEnd"/>
      <w:r w:rsidRPr="004166FF">
        <w:rPr>
          <w:rFonts w:cstheme="minorHAnsi"/>
        </w:rPr>
        <w:t xml:space="preserve"> u pacjentów ze współwystępującymi chorobami somatycznymi i psychicznymi</w:t>
      </w:r>
    </w:p>
    <w:p w14:paraId="272452E2" w14:textId="77777777" w:rsidR="004166FF" w:rsidRPr="004166FF" w:rsidRDefault="004166FF" w:rsidP="004166FF">
      <w:pPr>
        <w:numPr>
          <w:ilvl w:val="0"/>
          <w:numId w:val="10"/>
        </w:numPr>
        <w:spacing w:after="120" w:line="23" w:lineRule="atLeast"/>
        <w:rPr>
          <w:rFonts w:cstheme="minorHAnsi"/>
        </w:rPr>
      </w:pPr>
      <w:proofErr w:type="spellStart"/>
      <w:r w:rsidRPr="004166FF">
        <w:rPr>
          <w:rFonts w:cstheme="minorHAnsi"/>
        </w:rPr>
        <w:t>Fenotypowanie</w:t>
      </w:r>
      <w:proofErr w:type="spellEnd"/>
    </w:p>
    <w:p w14:paraId="378C8085" w14:textId="77777777" w:rsidR="004166FF" w:rsidRPr="004166FF" w:rsidRDefault="004166FF" w:rsidP="004166FF">
      <w:pPr>
        <w:numPr>
          <w:ilvl w:val="0"/>
          <w:numId w:val="10"/>
        </w:numPr>
        <w:spacing w:after="120" w:line="23" w:lineRule="atLeast"/>
        <w:rPr>
          <w:rFonts w:cstheme="minorHAnsi"/>
        </w:rPr>
      </w:pPr>
      <w:r w:rsidRPr="004166FF">
        <w:rPr>
          <w:rFonts w:cstheme="minorHAnsi"/>
        </w:rPr>
        <w:lastRenderedPageBreak/>
        <w:t>Izoenzymy cytochromu P450</w:t>
      </w:r>
    </w:p>
    <w:p w14:paraId="242B2EAF" w14:textId="77777777" w:rsidR="004166FF" w:rsidRPr="004166FF" w:rsidRDefault="004166FF" w:rsidP="004166FF">
      <w:pPr>
        <w:numPr>
          <w:ilvl w:val="0"/>
          <w:numId w:val="10"/>
        </w:numPr>
        <w:spacing w:after="120" w:line="23" w:lineRule="atLeast"/>
        <w:rPr>
          <w:rFonts w:cstheme="minorHAnsi"/>
        </w:rPr>
      </w:pPr>
      <w:r w:rsidRPr="004166FF">
        <w:rPr>
          <w:rFonts w:cstheme="minorHAnsi"/>
        </w:rPr>
        <w:t>Polimorfizm transporterów leków, receptorów i neuroprzekaźników odgrywających rolę w farmakokinetyce i farmakodynamice</w:t>
      </w:r>
    </w:p>
    <w:p w14:paraId="27AAA42D" w14:textId="77777777" w:rsidR="004166FF" w:rsidRPr="004166FF" w:rsidRDefault="004166FF" w:rsidP="004166FF">
      <w:pPr>
        <w:numPr>
          <w:ilvl w:val="0"/>
          <w:numId w:val="10"/>
        </w:numPr>
        <w:spacing w:after="120" w:line="23" w:lineRule="atLeast"/>
        <w:rPr>
          <w:rFonts w:cstheme="minorHAnsi"/>
        </w:rPr>
      </w:pPr>
      <w:proofErr w:type="spellStart"/>
      <w:r w:rsidRPr="004166FF">
        <w:rPr>
          <w:rFonts w:cstheme="minorHAnsi"/>
        </w:rPr>
        <w:t>Farmakogenetyka</w:t>
      </w:r>
      <w:proofErr w:type="spellEnd"/>
      <w:r w:rsidRPr="004166FF">
        <w:rPr>
          <w:rFonts w:cstheme="minorHAnsi"/>
        </w:rPr>
        <w:t xml:space="preserve"> i </w:t>
      </w:r>
      <w:proofErr w:type="spellStart"/>
      <w:r w:rsidRPr="004166FF">
        <w:rPr>
          <w:rFonts w:cstheme="minorHAnsi"/>
        </w:rPr>
        <w:t>farmakogenomika</w:t>
      </w:r>
      <w:proofErr w:type="spellEnd"/>
      <w:r w:rsidRPr="004166FF">
        <w:rPr>
          <w:rFonts w:cstheme="minorHAnsi"/>
        </w:rPr>
        <w:t xml:space="preserve"> a indywidualizacja farmakoterapii</w:t>
      </w:r>
    </w:p>
    <w:p w14:paraId="78DB3B58" w14:textId="77777777" w:rsidR="004166FF" w:rsidRPr="00E935CA" w:rsidRDefault="004166FF" w:rsidP="006B09AB">
      <w:pPr>
        <w:spacing w:after="120" w:line="23" w:lineRule="atLeast"/>
        <w:rPr>
          <w:rFonts w:cstheme="minorHAnsi"/>
        </w:rPr>
      </w:pPr>
    </w:p>
    <w:p w14:paraId="7EA0D5E7" w14:textId="77777777" w:rsidR="004B471C" w:rsidRPr="004B471C" w:rsidRDefault="004B471C" w:rsidP="006B09AB">
      <w:pPr>
        <w:spacing w:after="120" w:line="23" w:lineRule="atLeast"/>
        <w:rPr>
          <w:rFonts w:cstheme="minorHAnsi"/>
        </w:rPr>
      </w:pPr>
      <w:r w:rsidRPr="004B471C">
        <w:rPr>
          <w:rFonts w:cstheme="minorHAnsi"/>
        </w:rPr>
        <w:t>Materiały:</w:t>
      </w:r>
    </w:p>
    <w:p w14:paraId="7B3AF3BA" w14:textId="77777777" w:rsidR="004B471C" w:rsidRPr="004B471C" w:rsidRDefault="004B471C" w:rsidP="006B09AB">
      <w:pPr>
        <w:numPr>
          <w:ilvl w:val="0"/>
          <w:numId w:val="6"/>
        </w:numPr>
        <w:shd w:val="clear" w:color="auto" w:fill="FFFFFF"/>
        <w:spacing w:before="100" w:beforeAutospacing="1" w:after="120" w:line="23" w:lineRule="atLeast"/>
        <w:textAlignment w:val="baseline"/>
        <w:rPr>
          <w:rFonts w:eastAsia="Times New Roman" w:cstheme="minorHAnsi"/>
          <w:color w:val="000000"/>
          <w:lang w:eastAsia="pl-PL"/>
        </w:rPr>
      </w:pPr>
      <w:r w:rsidRPr="004B471C">
        <w:rPr>
          <w:rFonts w:eastAsia="Times New Roman" w:cstheme="minorHAnsi"/>
          <w:color w:val="000000"/>
          <w:lang w:eastAsia="pl-PL"/>
        </w:rPr>
        <w:t xml:space="preserve">Materiał wykładowy z przedmiotu Biologia Molekularna </w:t>
      </w:r>
    </w:p>
    <w:p w14:paraId="1FA52DAB" w14:textId="77777777" w:rsidR="004B471C" w:rsidRPr="004B471C" w:rsidRDefault="004B471C" w:rsidP="006B09AB">
      <w:pPr>
        <w:numPr>
          <w:ilvl w:val="0"/>
          <w:numId w:val="6"/>
        </w:numPr>
        <w:shd w:val="clear" w:color="auto" w:fill="FFFFFF"/>
        <w:spacing w:before="100" w:beforeAutospacing="1" w:after="120" w:line="23" w:lineRule="atLeast"/>
        <w:textAlignment w:val="baseline"/>
        <w:rPr>
          <w:rFonts w:eastAsia="Times New Roman" w:cstheme="minorHAnsi"/>
          <w:color w:val="000000"/>
          <w:lang w:eastAsia="pl-PL"/>
        </w:rPr>
      </w:pPr>
      <w:proofErr w:type="spellStart"/>
      <w:r w:rsidRPr="004B471C">
        <w:rPr>
          <w:rFonts w:eastAsia="Times New Roman" w:cstheme="minorHAnsi"/>
          <w:color w:val="000000"/>
          <w:lang w:eastAsia="pl-PL"/>
        </w:rPr>
        <w:t>Farmakogenetyka</w:t>
      </w:r>
      <w:proofErr w:type="spellEnd"/>
      <w:r w:rsidRPr="004B471C">
        <w:rPr>
          <w:rFonts w:eastAsia="Times New Roman" w:cstheme="minorHAnsi"/>
          <w:color w:val="000000"/>
          <w:lang w:eastAsia="pl-PL"/>
        </w:rPr>
        <w:t xml:space="preserve"> – znaczenie w chemioterapii raka jelita grubego. Mariusz </w:t>
      </w:r>
      <w:proofErr w:type="spellStart"/>
      <w:r w:rsidRPr="004B471C">
        <w:rPr>
          <w:rFonts w:eastAsia="Times New Roman" w:cstheme="minorHAnsi"/>
          <w:color w:val="000000"/>
          <w:lang w:eastAsia="pl-PL"/>
        </w:rPr>
        <w:t>Panczyk</w:t>
      </w:r>
      <w:proofErr w:type="spellEnd"/>
      <w:r w:rsidRPr="004B471C">
        <w:rPr>
          <w:rFonts w:eastAsia="Times New Roman" w:cstheme="minorHAnsi"/>
          <w:color w:val="000000"/>
          <w:lang w:eastAsia="pl-PL"/>
        </w:rPr>
        <w:t xml:space="preserve">, Marek Mirowski. Nowotwory. </w:t>
      </w:r>
      <w:proofErr w:type="spellStart"/>
      <w:r w:rsidRPr="004B471C">
        <w:rPr>
          <w:rFonts w:eastAsia="Times New Roman" w:cstheme="minorHAnsi"/>
          <w:color w:val="000000"/>
          <w:lang w:eastAsia="pl-PL"/>
        </w:rPr>
        <w:t>Journal</w:t>
      </w:r>
      <w:proofErr w:type="spellEnd"/>
      <w:r w:rsidRPr="004B471C">
        <w:rPr>
          <w:rFonts w:eastAsia="Times New Roman" w:cstheme="minorHAnsi"/>
          <w:color w:val="000000"/>
          <w:lang w:eastAsia="pl-PL"/>
        </w:rPr>
        <w:t xml:space="preserve"> of </w:t>
      </w:r>
      <w:proofErr w:type="spellStart"/>
      <w:r w:rsidRPr="004B471C">
        <w:rPr>
          <w:rFonts w:eastAsia="Times New Roman" w:cstheme="minorHAnsi"/>
          <w:color w:val="000000"/>
          <w:lang w:eastAsia="pl-PL"/>
        </w:rPr>
        <w:t>Oncology</w:t>
      </w:r>
      <w:proofErr w:type="spellEnd"/>
      <w:r w:rsidRPr="004B471C">
        <w:rPr>
          <w:rFonts w:eastAsia="Times New Roman" w:cstheme="minorHAnsi"/>
          <w:color w:val="000000"/>
          <w:lang w:eastAsia="pl-PL"/>
        </w:rPr>
        <w:t xml:space="preserve"> 2008;58(1):62</w:t>
      </w:r>
    </w:p>
    <w:p w14:paraId="1ED5BFC8" w14:textId="77777777" w:rsidR="004B471C" w:rsidRPr="004B471C" w:rsidRDefault="004B471C" w:rsidP="006B09AB">
      <w:pPr>
        <w:numPr>
          <w:ilvl w:val="0"/>
          <w:numId w:val="6"/>
        </w:numPr>
        <w:shd w:val="clear" w:color="auto" w:fill="FFFFFF"/>
        <w:spacing w:before="100" w:beforeAutospacing="1" w:after="120" w:line="23" w:lineRule="atLeast"/>
        <w:textAlignment w:val="baseline"/>
        <w:rPr>
          <w:rFonts w:eastAsia="Times New Roman" w:cstheme="minorHAnsi"/>
          <w:color w:val="000000"/>
          <w:lang w:eastAsia="pl-PL"/>
        </w:rPr>
      </w:pPr>
      <w:r w:rsidRPr="004B471C">
        <w:rPr>
          <w:rFonts w:eastAsia="Times New Roman" w:cstheme="minorHAnsi"/>
          <w:color w:val="000000"/>
          <w:lang w:eastAsia="pl-PL"/>
        </w:rPr>
        <w:t xml:space="preserve">Aspekty </w:t>
      </w:r>
      <w:proofErr w:type="spellStart"/>
      <w:r w:rsidRPr="004B471C">
        <w:rPr>
          <w:rFonts w:eastAsia="Times New Roman" w:cstheme="minorHAnsi"/>
          <w:color w:val="000000"/>
          <w:lang w:eastAsia="pl-PL"/>
        </w:rPr>
        <w:t>farmakogenetyczne</w:t>
      </w:r>
      <w:proofErr w:type="spellEnd"/>
      <w:r w:rsidRPr="004B471C">
        <w:rPr>
          <w:rFonts w:eastAsia="Times New Roman" w:cstheme="minorHAnsi"/>
          <w:color w:val="000000"/>
          <w:lang w:eastAsia="pl-PL"/>
        </w:rPr>
        <w:t xml:space="preserve"> u pacjentów ze współwystępującymi chorobami somatycznymi i psychicznymi. James R. </w:t>
      </w:r>
      <w:proofErr w:type="spellStart"/>
      <w:r w:rsidRPr="004B471C">
        <w:rPr>
          <w:rFonts w:eastAsia="Times New Roman" w:cstheme="minorHAnsi"/>
          <w:color w:val="000000"/>
          <w:lang w:eastAsia="pl-PL"/>
        </w:rPr>
        <w:t>Rundell</w:t>
      </w:r>
      <w:proofErr w:type="spellEnd"/>
      <w:r w:rsidRPr="004B471C">
        <w:rPr>
          <w:rFonts w:eastAsia="Times New Roman" w:cstheme="minorHAnsi"/>
          <w:color w:val="000000"/>
          <w:lang w:eastAsia="pl-PL"/>
        </w:rPr>
        <w:t xml:space="preserve">, MD, Gen </w:t>
      </w:r>
      <w:proofErr w:type="spellStart"/>
      <w:r w:rsidRPr="004B471C">
        <w:rPr>
          <w:rFonts w:eastAsia="Times New Roman" w:cstheme="minorHAnsi"/>
          <w:color w:val="000000"/>
          <w:lang w:eastAsia="pl-PL"/>
        </w:rPr>
        <w:t>Shinozaki</w:t>
      </w:r>
      <w:proofErr w:type="spellEnd"/>
      <w:r w:rsidRPr="004B471C">
        <w:rPr>
          <w:rFonts w:eastAsia="Times New Roman" w:cstheme="minorHAnsi"/>
          <w:color w:val="000000"/>
          <w:lang w:eastAsia="pl-PL"/>
        </w:rPr>
        <w:t>, MD, Tom 7, Nr 3, 2010, Psychiatria po Dyplomie</w:t>
      </w:r>
    </w:p>
    <w:p w14:paraId="092B1A26" w14:textId="77777777" w:rsidR="004B471C" w:rsidRPr="004B471C" w:rsidRDefault="004B471C" w:rsidP="006B09AB">
      <w:pPr>
        <w:numPr>
          <w:ilvl w:val="0"/>
          <w:numId w:val="6"/>
        </w:numPr>
        <w:shd w:val="clear" w:color="auto" w:fill="FFFFFF"/>
        <w:spacing w:beforeAutospacing="1" w:after="120" w:line="23" w:lineRule="atLeast"/>
        <w:textAlignment w:val="baseline"/>
        <w:rPr>
          <w:rFonts w:eastAsia="Times New Roman" w:cstheme="minorHAnsi"/>
          <w:color w:val="000000"/>
          <w:lang w:eastAsia="pl-PL"/>
        </w:rPr>
      </w:pPr>
      <w:r w:rsidRPr="004B471C">
        <w:rPr>
          <w:rFonts w:eastAsia="Times New Roman" w:cstheme="minorHAnsi"/>
          <w:color w:val="000000"/>
          <w:lang w:eastAsia="pl-PL"/>
        </w:rPr>
        <w:t xml:space="preserve">Rozdział X.1 </w:t>
      </w:r>
      <w:proofErr w:type="spellStart"/>
      <w:r w:rsidRPr="004B471C">
        <w:rPr>
          <w:rFonts w:eastAsia="Times New Roman" w:cstheme="minorHAnsi"/>
          <w:color w:val="000000"/>
          <w:lang w:eastAsia="pl-PL"/>
        </w:rPr>
        <w:t>Farmakogenetyka</w:t>
      </w:r>
      <w:proofErr w:type="spellEnd"/>
      <w:r w:rsidRPr="004B471C">
        <w:rPr>
          <w:rFonts w:eastAsia="Times New Roman" w:cstheme="minorHAnsi"/>
          <w:color w:val="000000"/>
          <w:lang w:eastAsia="pl-PL"/>
        </w:rPr>
        <w:t>, wraz z podrozdziałami, </w:t>
      </w:r>
      <w:r w:rsidRPr="004B471C">
        <w:rPr>
          <w:rFonts w:eastAsia="Times New Roman" w:cstheme="minorHAnsi"/>
          <w:color w:val="000000"/>
          <w:bdr w:val="none" w:sz="0" w:space="0" w:color="auto" w:frame="1"/>
          <w:lang w:eastAsia="pl-PL"/>
        </w:rPr>
        <w:t>Biologia molekularna w medycynie. Elementy genetyki klinicznej Jerzy Bal, 2013 (zakres stron w tym wydaniu 290-305)</w:t>
      </w:r>
    </w:p>
    <w:p w14:paraId="5596EA03" w14:textId="77777777" w:rsidR="004B471C" w:rsidRPr="004B471C" w:rsidRDefault="004B471C" w:rsidP="006B09AB">
      <w:pPr>
        <w:spacing w:after="120" w:line="23" w:lineRule="atLeast"/>
        <w:rPr>
          <w:rFonts w:cstheme="minorHAnsi"/>
        </w:rPr>
      </w:pPr>
    </w:p>
    <w:p w14:paraId="199C5680" w14:textId="77777777" w:rsidR="004B471C" w:rsidRPr="004B471C" w:rsidRDefault="004B471C" w:rsidP="006B09AB">
      <w:pPr>
        <w:shd w:val="clear" w:color="auto" w:fill="00B0F0"/>
        <w:spacing w:after="120" w:line="23" w:lineRule="atLeast"/>
        <w:rPr>
          <w:rFonts w:cstheme="minorHAnsi"/>
          <w:b/>
          <w:u w:val="single"/>
        </w:rPr>
      </w:pPr>
      <w:r w:rsidRPr="004B471C">
        <w:rPr>
          <w:rFonts w:cstheme="minorHAnsi"/>
          <w:b/>
          <w:u w:val="single"/>
        </w:rPr>
        <w:t xml:space="preserve">Seminarium 4 </w:t>
      </w:r>
    </w:p>
    <w:p w14:paraId="1DAF2513" w14:textId="77777777" w:rsidR="004B471C" w:rsidRPr="004B471C" w:rsidRDefault="004B471C" w:rsidP="006B09AB">
      <w:pPr>
        <w:shd w:val="clear" w:color="auto" w:fill="FFFFFF"/>
        <w:spacing w:after="120" w:line="23" w:lineRule="atLeast"/>
        <w:textAlignment w:val="baseline"/>
        <w:rPr>
          <w:rFonts w:eastAsia="Times New Roman" w:cstheme="minorHAnsi"/>
          <w:color w:val="000000"/>
          <w:lang w:eastAsia="pl-PL"/>
        </w:rPr>
      </w:pPr>
    </w:p>
    <w:p w14:paraId="632E02B2" w14:textId="77777777" w:rsidR="004B471C" w:rsidRPr="003806E8" w:rsidRDefault="004B471C" w:rsidP="006B09AB">
      <w:pPr>
        <w:shd w:val="clear" w:color="auto" w:fill="FFFFFF"/>
        <w:spacing w:after="120" w:line="23" w:lineRule="atLeast"/>
        <w:textAlignment w:val="baseline"/>
        <w:rPr>
          <w:rFonts w:eastAsia="Times New Roman" w:cstheme="minorHAnsi"/>
          <w:b/>
          <w:bCs/>
          <w:color w:val="000000"/>
          <w:lang w:eastAsia="pl-PL"/>
        </w:rPr>
      </w:pPr>
      <w:r w:rsidRPr="003806E8">
        <w:rPr>
          <w:rFonts w:eastAsia="Times New Roman" w:cstheme="minorHAnsi"/>
          <w:b/>
          <w:bCs/>
          <w:color w:val="000000"/>
          <w:lang w:eastAsia="pl-PL"/>
        </w:rPr>
        <w:t>Temat: "Mutacje dynamiczne i choroby wieloczynnikowe":</w:t>
      </w:r>
    </w:p>
    <w:p w14:paraId="772A5ABA" w14:textId="77777777" w:rsidR="004B471C" w:rsidRPr="004B471C" w:rsidRDefault="004B471C" w:rsidP="006B09AB">
      <w:pPr>
        <w:shd w:val="clear" w:color="auto" w:fill="FFFFFF"/>
        <w:spacing w:after="120" w:line="23" w:lineRule="atLeast"/>
        <w:textAlignment w:val="baseline"/>
        <w:rPr>
          <w:rFonts w:eastAsia="Times New Roman" w:cstheme="minorHAnsi"/>
          <w:color w:val="000000"/>
          <w:lang w:eastAsia="pl-PL"/>
        </w:rPr>
      </w:pPr>
    </w:p>
    <w:p w14:paraId="2EE77946" w14:textId="77777777" w:rsidR="004B471C" w:rsidRPr="004B471C" w:rsidRDefault="004B471C" w:rsidP="006B09AB">
      <w:pPr>
        <w:shd w:val="clear" w:color="auto" w:fill="FFFFFF"/>
        <w:spacing w:after="120" w:line="23" w:lineRule="atLeast"/>
        <w:textAlignment w:val="baseline"/>
        <w:rPr>
          <w:rFonts w:eastAsia="Times New Roman" w:cstheme="minorHAnsi"/>
          <w:color w:val="000000"/>
          <w:lang w:eastAsia="pl-PL"/>
        </w:rPr>
      </w:pPr>
      <w:r w:rsidRPr="004B471C">
        <w:rPr>
          <w:rFonts w:eastAsia="Times New Roman" w:cstheme="minorHAnsi"/>
          <w:color w:val="000000"/>
          <w:lang w:eastAsia="pl-PL"/>
        </w:rPr>
        <w:t>Zagadnienia:</w:t>
      </w:r>
    </w:p>
    <w:p w14:paraId="650DED16" w14:textId="77777777" w:rsidR="004B471C" w:rsidRPr="004B471C" w:rsidRDefault="004B471C" w:rsidP="006B09AB">
      <w:pPr>
        <w:shd w:val="clear" w:color="auto" w:fill="FFFFFF"/>
        <w:spacing w:after="120" w:line="23" w:lineRule="atLeast"/>
        <w:textAlignment w:val="baseline"/>
        <w:rPr>
          <w:rFonts w:eastAsia="Times New Roman" w:cstheme="minorHAnsi"/>
          <w:color w:val="000000"/>
          <w:lang w:eastAsia="pl-PL"/>
        </w:rPr>
      </w:pPr>
      <w:r w:rsidRPr="004B471C">
        <w:rPr>
          <w:rFonts w:eastAsia="Times New Roman" w:cstheme="minorHAnsi"/>
          <w:color w:val="000000"/>
          <w:lang w:eastAsia="pl-PL"/>
        </w:rPr>
        <w:t>Definicja mutacji dynamicznej, zjawisko antycypacji genetycznej, przykłady chorób wywołanych mutacjami dynamicznymi.</w:t>
      </w:r>
    </w:p>
    <w:p w14:paraId="624D5229" w14:textId="77777777" w:rsidR="004B471C" w:rsidRPr="004B471C" w:rsidRDefault="004B471C" w:rsidP="006B09AB">
      <w:pPr>
        <w:shd w:val="clear" w:color="auto" w:fill="FFFFFF"/>
        <w:spacing w:after="120" w:line="23" w:lineRule="atLeast"/>
        <w:textAlignment w:val="baseline"/>
        <w:rPr>
          <w:rFonts w:eastAsia="Times New Roman" w:cstheme="minorHAnsi"/>
          <w:color w:val="000000"/>
          <w:lang w:eastAsia="pl-PL"/>
        </w:rPr>
      </w:pPr>
      <w:r w:rsidRPr="004B471C">
        <w:rPr>
          <w:rFonts w:eastAsia="Times New Roman" w:cstheme="minorHAnsi"/>
          <w:color w:val="000000"/>
          <w:lang w:eastAsia="pl-PL"/>
        </w:rPr>
        <w:t xml:space="preserve">Uwarunkowania wielogenowe i wieloczynnikowe chorób i/lub cech fenotypowych. Przykłady chorób i/lub cech fenotypowych o uwarunkowaniach wielogenowych lub wieloczynnikowych, model dziedziczenia wieloczynnikowego wg </w:t>
      </w:r>
      <w:proofErr w:type="spellStart"/>
      <w:r w:rsidRPr="004B471C">
        <w:rPr>
          <w:rFonts w:eastAsia="Times New Roman" w:cstheme="minorHAnsi"/>
          <w:color w:val="000000"/>
          <w:lang w:eastAsia="pl-PL"/>
        </w:rPr>
        <w:t>Falconera</w:t>
      </w:r>
      <w:proofErr w:type="spellEnd"/>
      <w:r w:rsidRPr="004B471C">
        <w:rPr>
          <w:rFonts w:eastAsia="Times New Roman" w:cstheme="minorHAnsi"/>
          <w:color w:val="000000"/>
          <w:lang w:eastAsia="pl-PL"/>
        </w:rPr>
        <w:t>.</w:t>
      </w:r>
    </w:p>
    <w:p w14:paraId="4B55ED26" w14:textId="77777777" w:rsidR="004B471C" w:rsidRPr="004B471C" w:rsidRDefault="004B471C" w:rsidP="006B09AB">
      <w:pPr>
        <w:shd w:val="clear" w:color="auto" w:fill="FFFFFF"/>
        <w:spacing w:after="120" w:line="23" w:lineRule="atLeast"/>
        <w:textAlignment w:val="baseline"/>
        <w:rPr>
          <w:rFonts w:eastAsia="Times New Roman" w:cstheme="minorHAnsi"/>
          <w:color w:val="000000"/>
          <w:lang w:eastAsia="pl-PL"/>
        </w:rPr>
      </w:pPr>
      <w:r w:rsidRPr="004B471C">
        <w:rPr>
          <w:rFonts w:eastAsia="Times New Roman" w:cstheme="minorHAnsi"/>
          <w:color w:val="000000"/>
          <w:lang w:eastAsia="pl-PL"/>
        </w:rPr>
        <w:t xml:space="preserve">Zjawiska: </w:t>
      </w:r>
      <w:proofErr w:type="spellStart"/>
      <w:r w:rsidRPr="004B471C">
        <w:rPr>
          <w:rFonts w:eastAsia="Times New Roman" w:cstheme="minorHAnsi"/>
          <w:color w:val="000000"/>
          <w:lang w:eastAsia="pl-PL"/>
        </w:rPr>
        <w:t>kodominacja</w:t>
      </w:r>
      <w:proofErr w:type="spellEnd"/>
      <w:r w:rsidRPr="004B471C">
        <w:rPr>
          <w:rFonts w:eastAsia="Times New Roman" w:cstheme="minorHAnsi"/>
          <w:color w:val="000000"/>
          <w:lang w:eastAsia="pl-PL"/>
        </w:rPr>
        <w:t xml:space="preserve">, heterogenność </w:t>
      </w:r>
      <w:proofErr w:type="spellStart"/>
      <w:r w:rsidRPr="004B471C">
        <w:rPr>
          <w:rFonts w:eastAsia="Times New Roman" w:cstheme="minorHAnsi"/>
          <w:color w:val="000000"/>
          <w:lang w:eastAsia="pl-PL"/>
        </w:rPr>
        <w:t>loci</w:t>
      </w:r>
      <w:proofErr w:type="spellEnd"/>
      <w:r w:rsidRPr="004B471C">
        <w:rPr>
          <w:rFonts w:eastAsia="Times New Roman" w:cstheme="minorHAnsi"/>
          <w:color w:val="000000"/>
          <w:lang w:eastAsia="pl-PL"/>
        </w:rPr>
        <w:t xml:space="preserve">, </w:t>
      </w:r>
      <w:proofErr w:type="spellStart"/>
      <w:r w:rsidRPr="004B471C">
        <w:rPr>
          <w:rFonts w:eastAsia="Times New Roman" w:cstheme="minorHAnsi"/>
          <w:color w:val="000000"/>
          <w:lang w:eastAsia="pl-PL"/>
        </w:rPr>
        <w:t>plejotropizm</w:t>
      </w:r>
      <w:proofErr w:type="spellEnd"/>
      <w:r w:rsidRPr="004B471C">
        <w:rPr>
          <w:rFonts w:eastAsia="Times New Roman" w:cstheme="minorHAnsi"/>
          <w:color w:val="000000"/>
          <w:lang w:eastAsia="pl-PL"/>
        </w:rPr>
        <w:t>.</w:t>
      </w:r>
    </w:p>
    <w:p w14:paraId="3A77A71E" w14:textId="77777777" w:rsidR="004B471C" w:rsidRPr="004B471C" w:rsidRDefault="004B471C" w:rsidP="006B09AB">
      <w:pPr>
        <w:shd w:val="clear" w:color="auto" w:fill="FFFFFF"/>
        <w:spacing w:after="120" w:line="23" w:lineRule="atLeast"/>
        <w:textAlignment w:val="baseline"/>
        <w:rPr>
          <w:rFonts w:eastAsia="Times New Roman" w:cstheme="minorHAnsi"/>
          <w:color w:val="000000"/>
          <w:lang w:eastAsia="pl-PL"/>
        </w:rPr>
      </w:pPr>
    </w:p>
    <w:p w14:paraId="1B52FB59" w14:textId="77777777" w:rsidR="004B471C" w:rsidRPr="004B471C" w:rsidRDefault="004B471C" w:rsidP="006B09AB">
      <w:pPr>
        <w:shd w:val="clear" w:color="auto" w:fill="FFFFFF"/>
        <w:spacing w:after="120" w:line="23" w:lineRule="atLeast"/>
        <w:textAlignment w:val="baseline"/>
        <w:rPr>
          <w:rFonts w:eastAsia="Times New Roman" w:cstheme="minorHAnsi"/>
          <w:color w:val="000000"/>
          <w:lang w:eastAsia="pl-PL"/>
        </w:rPr>
      </w:pPr>
      <w:r w:rsidRPr="004B471C">
        <w:rPr>
          <w:rFonts w:eastAsia="Times New Roman" w:cstheme="minorHAnsi"/>
          <w:color w:val="000000"/>
          <w:lang w:eastAsia="pl-PL"/>
        </w:rPr>
        <w:t>Źródła:</w:t>
      </w:r>
    </w:p>
    <w:p w14:paraId="598149D1" w14:textId="77777777" w:rsidR="004B471C" w:rsidRPr="004B471C" w:rsidRDefault="004B471C" w:rsidP="006B09AB">
      <w:pPr>
        <w:numPr>
          <w:ilvl w:val="0"/>
          <w:numId w:val="2"/>
        </w:numPr>
        <w:shd w:val="clear" w:color="auto" w:fill="FFFFFF"/>
        <w:spacing w:before="240" w:after="120" w:line="23" w:lineRule="atLeast"/>
        <w:textAlignment w:val="baseline"/>
        <w:rPr>
          <w:rFonts w:eastAsia="Times New Roman" w:cstheme="minorHAnsi"/>
          <w:color w:val="000000"/>
          <w:lang w:eastAsia="pl-PL"/>
        </w:rPr>
      </w:pPr>
      <w:proofErr w:type="spellStart"/>
      <w:r w:rsidRPr="004B471C">
        <w:rPr>
          <w:rFonts w:eastAsia="Times New Roman" w:cstheme="minorHAnsi"/>
          <w:color w:val="000000"/>
          <w:bdr w:val="none" w:sz="0" w:space="0" w:color="auto" w:frame="1"/>
          <w:lang w:eastAsia="pl-PL"/>
        </w:rPr>
        <w:t>Nadgrodkiewicz</w:t>
      </w:r>
      <w:proofErr w:type="spellEnd"/>
      <w:r w:rsidRPr="004B471C">
        <w:rPr>
          <w:rFonts w:eastAsia="Times New Roman" w:cstheme="minorHAnsi"/>
          <w:color w:val="000000"/>
          <w:bdr w:val="none" w:sz="0" w:space="0" w:color="auto" w:frame="1"/>
          <w:lang w:eastAsia="pl-PL"/>
        </w:rPr>
        <w:t xml:space="preserve"> K, </w:t>
      </w:r>
      <w:proofErr w:type="spellStart"/>
      <w:r w:rsidRPr="004B471C">
        <w:rPr>
          <w:rFonts w:eastAsia="Times New Roman" w:cstheme="minorHAnsi"/>
          <w:color w:val="000000"/>
          <w:bdr w:val="none" w:sz="0" w:space="0" w:color="auto" w:frame="1"/>
          <w:lang w:eastAsia="pl-PL"/>
        </w:rPr>
        <w:t>Kifer</w:t>
      </w:r>
      <w:proofErr w:type="spellEnd"/>
      <w:r w:rsidRPr="004B471C">
        <w:rPr>
          <w:rFonts w:eastAsia="Times New Roman" w:cstheme="minorHAnsi"/>
          <w:color w:val="000000"/>
          <w:bdr w:val="none" w:sz="0" w:space="0" w:color="auto" w:frame="1"/>
          <w:lang w:eastAsia="pl-PL"/>
        </w:rPr>
        <w:t xml:space="preserve"> I: </w:t>
      </w:r>
      <w:r w:rsidRPr="004B471C">
        <w:rPr>
          <w:rFonts w:eastAsia="Times New Roman" w:cstheme="minorHAnsi"/>
          <w:i/>
          <w:iCs/>
          <w:color w:val="000000"/>
          <w:bdr w:val="none" w:sz="0" w:space="0" w:color="auto" w:frame="1"/>
          <w:lang w:eastAsia="pl-PL"/>
        </w:rPr>
        <w:t>Choroba Huntingtona jako przykład choroby neurodegeneracyjnej ze szczególnym uwzględnieniem aspektów genetycznych. </w:t>
      </w:r>
      <w:r w:rsidRPr="004B471C">
        <w:rPr>
          <w:rFonts w:eastAsia="Times New Roman" w:cstheme="minorHAnsi"/>
          <w:color w:val="000000"/>
          <w:bdr w:val="none" w:sz="0" w:space="0" w:color="auto" w:frame="1"/>
          <w:lang w:eastAsia="pl-PL"/>
        </w:rPr>
        <w:t>Postępy Psychiatrii i Neurologii, 2002, II, 149-153</w:t>
      </w:r>
    </w:p>
    <w:p w14:paraId="4FF9B183" w14:textId="77777777" w:rsidR="004B471C" w:rsidRPr="004B471C" w:rsidRDefault="004B471C" w:rsidP="006B09AB">
      <w:pPr>
        <w:numPr>
          <w:ilvl w:val="0"/>
          <w:numId w:val="2"/>
        </w:numPr>
        <w:shd w:val="clear" w:color="auto" w:fill="FFFFFF"/>
        <w:spacing w:beforeAutospacing="1" w:after="120" w:line="23" w:lineRule="atLeast"/>
        <w:textAlignment w:val="baseline"/>
        <w:rPr>
          <w:rFonts w:eastAsia="Times New Roman" w:cstheme="minorHAnsi"/>
          <w:color w:val="000000"/>
          <w:lang w:eastAsia="pl-PL"/>
        </w:rPr>
      </w:pPr>
      <w:r w:rsidRPr="004B471C">
        <w:rPr>
          <w:rFonts w:eastAsia="Times New Roman" w:cstheme="minorHAnsi"/>
          <w:color w:val="000000"/>
          <w:bdr w:val="none" w:sz="0" w:space="0" w:color="auto" w:frame="1"/>
          <w:lang w:eastAsia="pl-PL"/>
        </w:rPr>
        <w:t>Kozubski W: </w:t>
      </w:r>
      <w:r w:rsidRPr="004B471C">
        <w:rPr>
          <w:rFonts w:eastAsia="Times New Roman" w:cstheme="minorHAnsi"/>
          <w:i/>
          <w:iCs/>
          <w:color w:val="000000"/>
          <w:bdr w:val="none" w:sz="0" w:space="0" w:color="auto" w:frame="1"/>
          <w:lang w:eastAsia="pl-PL"/>
        </w:rPr>
        <w:t>Neurologia</w:t>
      </w:r>
      <w:r w:rsidRPr="004B471C">
        <w:rPr>
          <w:rFonts w:eastAsia="Times New Roman" w:cstheme="minorHAnsi"/>
          <w:color w:val="000000"/>
          <w:bdr w:val="none" w:sz="0" w:space="0" w:color="auto" w:frame="1"/>
          <w:lang w:eastAsia="pl-PL"/>
        </w:rPr>
        <w:t>. Wydawnictwo Lekarskie PZWL, Warszawa, 2006</w:t>
      </w:r>
    </w:p>
    <w:p w14:paraId="391BDF95" w14:textId="77777777" w:rsidR="004B471C" w:rsidRPr="004B471C" w:rsidRDefault="004B471C" w:rsidP="006B09AB">
      <w:pPr>
        <w:numPr>
          <w:ilvl w:val="0"/>
          <w:numId w:val="2"/>
        </w:numPr>
        <w:shd w:val="clear" w:color="auto" w:fill="FFFFFF"/>
        <w:spacing w:beforeAutospacing="1" w:after="120" w:line="23" w:lineRule="atLeast"/>
        <w:textAlignment w:val="baseline"/>
        <w:rPr>
          <w:rFonts w:eastAsia="Times New Roman" w:cstheme="minorHAnsi"/>
          <w:color w:val="000000"/>
          <w:lang w:eastAsia="pl-PL"/>
        </w:rPr>
      </w:pPr>
      <w:r w:rsidRPr="004B471C">
        <w:rPr>
          <w:rFonts w:eastAsia="Times New Roman" w:cstheme="minorHAnsi"/>
          <w:color w:val="000000"/>
          <w:bdr w:val="none" w:sz="0" w:space="0" w:color="auto" w:frame="1"/>
          <w:lang w:eastAsia="pl-PL"/>
        </w:rPr>
        <w:t>Bal J: </w:t>
      </w:r>
      <w:r w:rsidRPr="004B471C">
        <w:rPr>
          <w:rFonts w:eastAsia="Times New Roman" w:cstheme="minorHAnsi"/>
          <w:i/>
          <w:iCs/>
          <w:color w:val="000000"/>
          <w:bdr w:val="none" w:sz="0" w:space="0" w:color="auto" w:frame="1"/>
          <w:lang w:eastAsia="pl-PL"/>
        </w:rPr>
        <w:t>Biologia molekularna w medycynie. Elementy genetyki klinicznej</w:t>
      </w:r>
      <w:r w:rsidRPr="004B471C">
        <w:rPr>
          <w:rFonts w:eastAsia="Times New Roman" w:cstheme="minorHAnsi"/>
          <w:color w:val="000000"/>
          <w:bdr w:val="none" w:sz="0" w:space="0" w:color="auto" w:frame="1"/>
          <w:lang w:eastAsia="pl-PL"/>
        </w:rPr>
        <w:t>. PWN, Warszawa, 2013</w:t>
      </w:r>
    </w:p>
    <w:p w14:paraId="7D5D2DAB" w14:textId="77777777" w:rsidR="004B471C" w:rsidRPr="004B471C" w:rsidRDefault="004B471C" w:rsidP="006B09AB">
      <w:pPr>
        <w:numPr>
          <w:ilvl w:val="0"/>
          <w:numId w:val="2"/>
        </w:numPr>
        <w:shd w:val="clear" w:color="auto" w:fill="FFFFFF"/>
        <w:spacing w:beforeAutospacing="1" w:after="120" w:line="23" w:lineRule="atLeast"/>
        <w:textAlignment w:val="baseline"/>
        <w:rPr>
          <w:rFonts w:eastAsia="Times New Roman" w:cstheme="minorHAnsi"/>
          <w:color w:val="000000"/>
          <w:lang w:eastAsia="pl-PL"/>
        </w:rPr>
      </w:pPr>
      <w:r w:rsidRPr="004B471C">
        <w:rPr>
          <w:rFonts w:eastAsia="Times New Roman" w:cstheme="minorHAnsi"/>
          <w:color w:val="000000"/>
          <w:bdr w:val="none" w:sz="0" w:space="0" w:color="auto" w:frame="1"/>
          <w:lang w:eastAsia="pl-PL"/>
        </w:rPr>
        <w:t>Tobias E, Connor M, Ferguson M: </w:t>
      </w:r>
      <w:r w:rsidRPr="004B471C">
        <w:rPr>
          <w:rFonts w:eastAsia="Times New Roman" w:cstheme="minorHAnsi"/>
          <w:i/>
          <w:iCs/>
          <w:color w:val="000000"/>
          <w:bdr w:val="none" w:sz="0" w:space="0" w:color="auto" w:frame="1"/>
          <w:lang w:eastAsia="pl-PL"/>
        </w:rPr>
        <w:t>Genetyka Medyczna</w:t>
      </w:r>
      <w:r w:rsidRPr="004B471C">
        <w:rPr>
          <w:rFonts w:eastAsia="Times New Roman" w:cstheme="minorHAnsi"/>
          <w:color w:val="000000"/>
          <w:bdr w:val="none" w:sz="0" w:space="0" w:color="auto" w:frame="1"/>
          <w:lang w:eastAsia="pl-PL"/>
        </w:rPr>
        <w:t>. PZWL, Warszawa, 2013</w:t>
      </w:r>
    </w:p>
    <w:p w14:paraId="7AADF174" w14:textId="77777777" w:rsidR="004B471C" w:rsidRPr="004B471C" w:rsidRDefault="004B471C" w:rsidP="006B09AB">
      <w:pPr>
        <w:numPr>
          <w:ilvl w:val="0"/>
          <w:numId w:val="2"/>
        </w:numPr>
        <w:shd w:val="clear" w:color="auto" w:fill="FFFFFF"/>
        <w:spacing w:beforeAutospacing="1" w:after="120" w:line="23" w:lineRule="atLeast"/>
        <w:textAlignment w:val="baseline"/>
        <w:rPr>
          <w:rFonts w:eastAsia="Times New Roman" w:cstheme="minorHAnsi"/>
          <w:color w:val="000000"/>
          <w:lang w:eastAsia="pl-PL"/>
        </w:rPr>
      </w:pPr>
      <w:r w:rsidRPr="004B471C">
        <w:rPr>
          <w:rFonts w:eastAsia="Times New Roman" w:cstheme="minorHAnsi"/>
          <w:color w:val="000000"/>
          <w:bdr w:val="none" w:sz="0" w:space="0" w:color="auto" w:frame="1"/>
          <w:lang w:eastAsia="pl-PL"/>
        </w:rPr>
        <w:t>Fletcher H, </w:t>
      </w:r>
      <w:proofErr w:type="spellStart"/>
      <w:r w:rsidRPr="004B471C">
        <w:rPr>
          <w:rFonts w:eastAsia="Times New Roman" w:cstheme="minorHAnsi"/>
          <w:color w:val="000000"/>
          <w:bdr w:val="none" w:sz="0" w:space="0" w:color="auto" w:frame="1"/>
          <w:lang w:eastAsia="pl-PL"/>
        </w:rPr>
        <w:t>Hickey</w:t>
      </w:r>
      <w:proofErr w:type="spellEnd"/>
      <w:r w:rsidRPr="004B471C">
        <w:rPr>
          <w:rFonts w:eastAsia="Times New Roman" w:cstheme="minorHAnsi"/>
          <w:color w:val="000000"/>
          <w:bdr w:val="none" w:sz="0" w:space="0" w:color="auto" w:frame="1"/>
          <w:lang w:eastAsia="pl-PL"/>
        </w:rPr>
        <w:t xml:space="preserve"> I, Winter P: </w:t>
      </w:r>
      <w:r w:rsidRPr="004B471C">
        <w:rPr>
          <w:rFonts w:eastAsia="Times New Roman" w:cstheme="minorHAnsi"/>
          <w:i/>
          <w:iCs/>
          <w:color w:val="000000"/>
          <w:bdr w:val="none" w:sz="0" w:space="0" w:color="auto" w:frame="1"/>
          <w:lang w:eastAsia="pl-PL"/>
        </w:rPr>
        <w:t>Genetyka – krótkie wykłady</w:t>
      </w:r>
      <w:r w:rsidRPr="004B471C">
        <w:rPr>
          <w:rFonts w:eastAsia="Times New Roman" w:cstheme="minorHAnsi"/>
          <w:color w:val="000000"/>
          <w:bdr w:val="none" w:sz="0" w:space="0" w:color="auto" w:frame="1"/>
          <w:lang w:eastAsia="pl-PL"/>
        </w:rPr>
        <w:t>. PWN, Warszawa, 2010</w:t>
      </w:r>
    </w:p>
    <w:p w14:paraId="7E14E48D" w14:textId="77777777" w:rsidR="004B471C" w:rsidRDefault="004B471C" w:rsidP="006B09AB">
      <w:pPr>
        <w:shd w:val="clear" w:color="auto" w:fill="FFFFFF"/>
        <w:spacing w:beforeAutospacing="1" w:after="120" w:line="23" w:lineRule="atLeast"/>
        <w:ind w:left="720"/>
        <w:textAlignment w:val="baseline"/>
        <w:rPr>
          <w:rFonts w:eastAsia="Times New Roman" w:cstheme="minorHAnsi"/>
          <w:color w:val="000000"/>
          <w:lang w:eastAsia="pl-PL"/>
        </w:rPr>
      </w:pPr>
    </w:p>
    <w:p w14:paraId="7EDAC7A6" w14:textId="77777777" w:rsidR="00D177E6" w:rsidRPr="004B471C" w:rsidRDefault="00D177E6" w:rsidP="006B09AB">
      <w:pPr>
        <w:shd w:val="clear" w:color="auto" w:fill="FFFFFF"/>
        <w:spacing w:beforeAutospacing="1" w:after="120" w:line="23" w:lineRule="atLeast"/>
        <w:ind w:left="720"/>
        <w:textAlignment w:val="baseline"/>
        <w:rPr>
          <w:rFonts w:eastAsia="Times New Roman" w:cstheme="minorHAnsi"/>
          <w:color w:val="000000"/>
          <w:lang w:eastAsia="pl-PL"/>
        </w:rPr>
      </w:pPr>
    </w:p>
    <w:p w14:paraId="0290E758" w14:textId="77777777" w:rsidR="004B471C" w:rsidRPr="004B471C" w:rsidRDefault="004B471C" w:rsidP="006B09AB">
      <w:pPr>
        <w:shd w:val="clear" w:color="auto" w:fill="FABF8F" w:themeFill="accent6" w:themeFillTint="99"/>
        <w:spacing w:beforeAutospacing="1" w:after="120" w:line="23" w:lineRule="atLeast"/>
        <w:textAlignment w:val="baseline"/>
        <w:rPr>
          <w:rFonts w:eastAsia="Times New Roman" w:cstheme="minorHAnsi"/>
          <w:b/>
          <w:color w:val="000000" w:themeColor="text1"/>
          <w:u w:val="single"/>
          <w:lang w:eastAsia="pl-PL"/>
        </w:rPr>
      </w:pPr>
      <w:r w:rsidRPr="004B471C">
        <w:rPr>
          <w:rFonts w:eastAsia="Times New Roman" w:cstheme="minorHAnsi"/>
          <w:b/>
          <w:color w:val="000000" w:themeColor="text1"/>
          <w:u w:val="single"/>
          <w:bdr w:val="none" w:sz="0" w:space="0" w:color="auto" w:frame="1"/>
          <w:lang w:eastAsia="pl-PL"/>
        </w:rPr>
        <w:lastRenderedPageBreak/>
        <w:t>Seminarium 5:</w:t>
      </w:r>
    </w:p>
    <w:p w14:paraId="3E5F424E" w14:textId="78F9A38C" w:rsidR="00034496" w:rsidRPr="00034496" w:rsidRDefault="00034496" w:rsidP="00034496">
      <w:pPr>
        <w:rPr>
          <w:b/>
          <w:bCs/>
        </w:rPr>
      </w:pPr>
      <w:r w:rsidRPr="00034496">
        <w:rPr>
          <w:b/>
          <w:bCs/>
        </w:rPr>
        <w:t>Temat: Diagnostyka molekularna w hematologii</w:t>
      </w:r>
    </w:p>
    <w:p w14:paraId="677F76E9" w14:textId="77777777" w:rsidR="00034496" w:rsidRPr="00C35FB3" w:rsidRDefault="00034496" w:rsidP="00034496">
      <w:r w:rsidRPr="00C35FB3">
        <w:t>Zagadnienia:</w:t>
      </w:r>
    </w:p>
    <w:p w14:paraId="2001C660" w14:textId="77777777" w:rsidR="00034496" w:rsidRPr="00C35FB3" w:rsidRDefault="00034496" w:rsidP="00034496">
      <w:r w:rsidRPr="00C35FB3">
        <w:t>1. Wykorzystanie technik biologii molekularnej w diagnostyce białaczek.</w:t>
      </w:r>
    </w:p>
    <w:p w14:paraId="7F2422C5" w14:textId="77777777" w:rsidR="00034496" w:rsidRPr="00C35FB3" w:rsidRDefault="00034496" w:rsidP="00034496">
      <w:r w:rsidRPr="00C35FB3">
        <w:t>2. Minimalna choroba resztkowa (MRD)</w:t>
      </w:r>
    </w:p>
    <w:p w14:paraId="2856CDDD" w14:textId="77777777" w:rsidR="00034496" w:rsidRPr="00C35FB3" w:rsidRDefault="00034496" w:rsidP="00034496">
      <w:r w:rsidRPr="00C35FB3">
        <w:t>3. Markery oznaczane w MRD</w:t>
      </w:r>
    </w:p>
    <w:p w14:paraId="25245926" w14:textId="77777777" w:rsidR="00034496" w:rsidRPr="00C35FB3" w:rsidRDefault="00034496" w:rsidP="00034496">
      <w:r w:rsidRPr="00C35FB3">
        <w:t>4. Zastosowanie i znaczenie MRD</w:t>
      </w:r>
    </w:p>
    <w:p w14:paraId="7E7CD3AD" w14:textId="77777777" w:rsidR="00034496" w:rsidRPr="00C35FB3" w:rsidRDefault="00034496" w:rsidP="00034496">
      <w:r w:rsidRPr="00C35FB3">
        <w:t>5. Metody oznaczania MRD</w:t>
      </w:r>
    </w:p>
    <w:p w14:paraId="15D1A1FD" w14:textId="77777777" w:rsidR="00034496" w:rsidRPr="00C35FB3" w:rsidRDefault="00034496" w:rsidP="00034496">
      <w:r w:rsidRPr="00C35FB3">
        <w:t>6. Schemat monitorowania MRD</w:t>
      </w:r>
    </w:p>
    <w:p w14:paraId="2640306B" w14:textId="77777777" w:rsidR="00034496" w:rsidRPr="00C35FB3" w:rsidRDefault="00034496" w:rsidP="00034496">
      <w:r w:rsidRPr="00C35FB3">
        <w:t>7. Diagnostyka molekularna zaburzeń krzepnięcia i fibrynolizy</w:t>
      </w:r>
    </w:p>
    <w:p w14:paraId="078E339E" w14:textId="77777777" w:rsidR="00034496" w:rsidRDefault="00034496" w:rsidP="00034496"/>
    <w:p w14:paraId="755EF775" w14:textId="77777777" w:rsidR="00034496" w:rsidRPr="00C35FB3" w:rsidRDefault="00034496" w:rsidP="00034496">
      <w:r w:rsidRPr="00C35FB3">
        <w:t>Materiały:</w:t>
      </w:r>
    </w:p>
    <w:p w14:paraId="57483325" w14:textId="77777777" w:rsidR="00034496" w:rsidRDefault="00034496" w:rsidP="00034496">
      <w:r w:rsidRPr="00C35FB3">
        <w:t xml:space="preserve">Skrypt: „Wybrane zagadnienia biologii molekularnej” pod red. </w:t>
      </w:r>
      <w:proofErr w:type="spellStart"/>
      <w:r w:rsidRPr="00C35FB3">
        <w:t>R.Wierzbickiego</w:t>
      </w:r>
      <w:proofErr w:type="spellEnd"/>
    </w:p>
    <w:p w14:paraId="07DF0529" w14:textId="77777777" w:rsidR="00034496" w:rsidRDefault="00034496" w:rsidP="00034496">
      <w:r>
        <w:t>Artykuły:</w:t>
      </w:r>
    </w:p>
    <w:p w14:paraId="11D5ACE5" w14:textId="77777777" w:rsidR="00034496" w:rsidRDefault="00034496" w:rsidP="00034496">
      <w:r w:rsidRPr="007B03B3">
        <w:t xml:space="preserve">1. Ewelina </w:t>
      </w:r>
      <w:proofErr w:type="spellStart"/>
      <w:r w:rsidRPr="007B03B3">
        <w:t>Pukownik</w:t>
      </w:r>
      <w:proofErr w:type="spellEnd"/>
      <w:r w:rsidRPr="007B03B3">
        <w:t xml:space="preserve">, Lidia Gil, Jan Styczyński, Minimalna choroba resztkowa w ostrych białaczkach u dzieci i dorosłych, Acta </w:t>
      </w:r>
      <w:proofErr w:type="spellStart"/>
      <w:r w:rsidRPr="007B03B3">
        <w:t>Haematologica</w:t>
      </w:r>
      <w:proofErr w:type="spellEnd"/>
      <w:r w:rsidRPr="007B03B3">
        <w:t xml:space="preserve"> Polonica, Volume 45, </w:t>
      </w:r>
      <w:proofErr w:type="spellStart"/>
      <w:r w:rsidRPr="007B03B3">
        <w:t>Issue</w:t>
      </w:r>
      <w:proofErr w:type="spellEnd"/>
      <w:r w:rsidRPr="007B03B3">
        <w:t xml:space="preserve"> 4, 2014, </w:t>
      </w:r>
      <w:proofErr w:type="spellStart"/>
      <w:r w:rsidRPr="007B03B3">
        <w:t>Pages</w:t>
      </w:r>
      <w:proofErr w:type="spellEnd"/>
      <w:r w:rsidRPr="007B03B3">
        <w:t xml:space="preserve"> 330-339, ISSN 0001-5814, </w:t>
      </w:r>
      <w:hyperlink r:id="rId9" w:history="1">
        <w:r w:rsidRPr="008B0752">
          <w:rPr>
            <w:rStyle w:val="Hipercze"/>
          </w:rPr>
          <w:t>https://doi.org/10.1016/j.achaem.2014.07.002</w:t>
        </w:r>
      </w:hyperlink>
      <w:r w:rsidRPr="007B03B3">
        <w:t>.</w:t>
      </w:r>
    </w:p>
    <w:p w14:paraId="4D568D1B" w14:textId="77777777" w:rsidR="00034496" w:rsidRDefault="00034496" w:rsidP="00034496">
      <w:r w:rsidRPr="007B03B3">
        <w:rPr>
          <w:lang w:val="en-US"/>
        </w:rPr>
        <w:t>2. Włodek J, Bukowska-</w:t>
      </w:r>
      <w:proofErr w:type="spellStart"/>
      <w:r w:rsidRPr="007B03B3">
        <w:rPr>
          <w:lang w:val="en-US"/>
        </w:rPr>
        <w:t>Strakova</w:t>
      </w:r>
      <w:proofErr w:type="spellEnd"/>
      <w:r w:rsidRPr="007B03B3">
        <w:rPr>
          <w:lang w:val="en-US"/>
        </w:rPr>
        <w:t xml:space="preserve"> K, Pituch-</w:t>
      </w:r>
      <w:proofErr w:type="spellStart"/>
      <w:r w:rsidRPr="007B03B3">
        <w:rPr>
          <w:lang w:val="en-US"/>
        </w:rPr>
        <w:t>Noworolska</w:t>
      </w:r>
      <w:proofErr w:type="spellEnd"/>
      <w:r w:rsidRPr="007B03B3">
        <w:rPr>
          <w:lang w:val="en-US"/>
        </w:rPr>
        <w:t xml:space="preserve"> A, </w:t>
      </w:r>
      <w:proofErr w:type="spellStart"/>
      <w:r w:rsidRPr="007B03B3">
        <w:rPr>
          <w:lang w:val="en-US"/>
        </w:rPr>
        <w:t>Balwierz</w:t>
      </w:r>
      <w:proofErr w:type="spellEnd"/>
      <w:r w:rsidRPr="007B03B3">
        <w:rPr>
          <w:lang w:val="en-US"/>
        </w:rPr>
        <w:t xml:space="preserve"> W, Surman M. Expression of CD10 on minimal residual cells in children with B-cell precursor acute leukemia. </w:t>
      </w:r>
      <w:r w:rsidRPr="007B03B3">
        <w:t xml:space="preserve">Acta </w:t>
      </w:r>
      <w:proofErr w:type="spellStart"/>
      <w:r w:rsidRPr="007B03B3">
        <w:t>Haematologica</w:t>
      </w:r>
      <w:proofErr w:type="spellEnd"/>
      <w:r w:rsidRPr="007B03B3">
        <w:t xml:space="preserve"> Polonica. 2017;48(4):338–342. </w:t>
      </w:r>
      <w:hyperlink r:id="rId10" w:history="1">
        <w:r w:rsidRPr="008B0752">
          <w:rPr>
            <w:rStyle w:val="Hipercze"/>
          </w:rPr>
          <w:t>https://doi:10.1016/j.achaem.2017.04.002</w:t>
        </w:r>
      </w:hyperlink>
      <w:r w:rsidRPr="007B03B3">
        <w:t>.</w:t>
      </w:r>
    </w:p>
    <w:p w14:paraId="0C701C54" w14:textId="77777777" w:rsidR="00034496" w:rsidRDefault="00034496" w:rsidP="00034496">
      <w:r w:rsidRPr="007B03B3">
        <w:t>3. Link-</w:t>
      </w:r>
      <w:proofErr w:type="spellStart"/>
      <w:r w:rsidRPr="007B03B3">
        <w:t>Lenczowska</w:t>
      </w:r>
      <w:proofErr w:type="spellEnd"/>
      <w:r w:rsidRPr="007B03B3">
        <w:t xml:space="preserve"> D, </w:t>
      </w:r>
      <w:proofErr w:type="spellStart"/>
      <w:r w:rsidRPr="007B03B3">
        <w:t>Sacha</w:t>
      </w:r>
      <w:proofErr w:type="spellEnd"/>
      <w:r w:rsidRPr="007B03B3">
        <w:t xml:space="preserve"> T, Zawada M, Czekalska S, Florek I, Skotnicki AB. Nietypowe odmiany </w:t>
      </w:r>
      <w:proofErr w:type="spellStart"/>
      <w:r w:rsidRPr="007B03B3">
        <w:t>transkryptu</w:t>
      </w:r>
      <w:proofErr w:type="spellEnd"/>
      <w:r w:rsidRPr="007B03B3">
        <w:t xml:space="preserve"> &lt;I&gt;BCR-ABL&lt;/I&gt; u chorych na przewlekłą białaczkę szpikową </w:t>
      </w:r>
      <w:r>
        <w:t>–</w:t>
      </w:r>
      <w:r w:rsidRPr="007B03B3">
        <w:t xml:space="preserve"> schemat</w:t>
      </w:r>
      <w:r>
        <w:t xml:space="preserve"> </w:t>
      </w:r>
      <w:r w:rsidRPr="007B03B3">
        <w:t xml:space="preserve">postępowania diagnostycznego w monitorowaniu minimalnej choroby resztkowej. Przegląd Lekarski. 2014;71(5):258–262. </w:t>
      </w:r>
      <w:hyperlink r:id="rId11" w:history="1">
        <w:r w:rsidRPr="008B0752">
          <w:rPr>
            <w:rStyle w:val="Hipercze"/>
          </w:rPr>
          <w:t>http://www.wple.net/plek/przeglad_lekarski.htm</w:t>
        </w:r>
      </w:hyperlink>
    </w:p>
    <w:p w14:paraId="43FB7BFC" w14:textId="77777777" w:rsidR="00034496" w:rsidRDefault="00034496" w:rsidP="00034496">
      <w:r w:rsidRPr="007B03B3">
        <w:t>4. Szczepański, T., Pituch-</w:t>
      </w:r>
      <w:proofErr w:type="spellStart"/>
      <w:r w:rsidRPr="007B03B3">
        <w:t>Noworolska</w:t>
      </w:r>
      <w:proofErr w:type="spellEnd"/>
      <w:r w:rsidRPr="007B03B3">
        <w:t xml:space="preserve">, A., Mazur, B. (2008). Wykrywanie minimalnej choroby resztkowej w ostrej białaczce </w:t>
      </w:r>
      <w:proofErr w:type="spellStart"/>
      <w:r w:rsidRPr="007B03B3">
        <w:t>limfoblastycznej</w:t>
      </w:r>
      <w:proofErr w:type="spellEnd"/>
      <w:r w:rsidRPr="007B03B3">
        <w:t xml:space="preserve"> u dzieci. Postępy Biologii Komórki, 35(Supl. 24), 141–146. </w:t>
      </w:r>
      <w:hyperlink r:id="rId12" w:history="1">
        <w:r w:rsidRPr="008B0752">
          <w:rPr>
            <w:rStyle w:val="Hipercze"/>
          </w:rPr>
          <w:t>https://share.google/umJQZ5UWbrk3nq6D4</w:t>
        </w:r>
      </w:hyperlink>
    </w:p>
    <w:p w14:paraId="50E3CE8E" w14:textId="77777777" w:rsidR="00034496" w:rsidRDefault="00034496" w:rsidP="00034496">
      <w:pPr>
        <w:jc w:val="both"/>
      </w:pPr>
      <w:r w:rsidRPr="00C35FB3">
        <w:t>Wykład</w:t>
      </w:r>
      <w:r>
        <w:t>:</w:t>
      </w:r>
      <w:r w:rsidRPr="00C35FB3">
        <w:t xml:space="preserve"> „Diagnostyka molekularna zaburzeń hemostazy</w:t>
      </w:r>
      <w:r>
        <w:t xml:space="preserve"> – skazy krwotoczne</w:t>
      </w:r>
      <w:r w:rsidRPr="00C35FB3">
        <w:t>” – przedmiot: diagnostyka molekularna, Analityka Medyczna</w:t>
      </w:r>
    </w:p>
    <w:p w14:paraId="4E7809C8" w14:textId="77777777" w:rsidR="00034496" w:rsidRPr="007B03B3" w:rsidRDefault="00034496" w:rsidP="00034496">
      <w:pPr>
        <w:jc w:val="both"/>
      </w:pPr>
      <w:r>
        <w:t xml:space="preserve">Artykuł: </w:t>
      </w:r>
      <w:proofErr w:type="spellStart"/>
      <w:r w:rsidRPr="00C35FB3">
        <w:t>Trombofilie</w:t>
      </w:r>
      <w:proofErr w:type="spellEnd"/>
      <w:r w:rsidRPr="00C35FB3">
        <w:t xml:space="preserve"> wrodzone — charakterystyka, diagnostyka i postępowanie u dorosłych. Zalecenia Grupy ds. Hemostazy Polskiego Towarzystwa Hematologów i Transfuzjologów — 2022</w:t>
      </w:r>
      <w:r>
        <w:t>,</w:t>
      </w:r>
      <w:r w:rsidRPr="00C35FB3">
        <w:t xml:space="preserve"> </w:t>
      </w:r>
      <w:proofErr w:type="spellStart"/>
      <w:r>
        <w:t>Journal</w:t>
      </w:r>
      <w:proofErr w:type="spellEnd"/>
      <w:r>
        <w:t xml:space="preserve"> of </w:t>
      </w:r>
      <w:proofErr w:type="spellStart"/>
      <w:r>
        <w:t>Transfusion</w:t>
      </w:r>
      <w:proofErr w:type="spellEnd"/>
      <w:r>
        <w:t xml:space="preserve"> </w:t>
      </w:r>
      <w:proofErr w:type="spellStart"/>
      <w:r>
        <w:t>Medicine</w:t>
      </w:r>
      <w:proofErr w:type="spellEnd"/>
      <w:r>
        <w:t xml:space="preserve"> 2022, tom 15, nr 3, 183–195 </w:t>
      </w:r>
    </w:p>
    <w:sectPr w:rsidR="00034496" w:rsidRPr="007B03B3" w:rsidSect="001311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F4097"/>
    <w:multiLevelType w:val="multilevel"/>
    <w:tmpl w:val="2C1808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E045C1"/>
    <w:multiLevelType w:val="multilevel"/>
    <w:tmpl w:val="60F4E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382BEE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10E43325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235C2DE0"/>
    <w:multiLevelType w:val="multilevel"/>
    <w:tmpl w:val="563E01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86C5966"/>
    <w:multiLevelType w:val="hybridMultilevel"/>
    <w:tmpl w:val="3BE07E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370630"/>
    <w:multiLevelType w:val="hybridMultilevel"/>
    <w:tmpl w:val="427E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9D02AF"/>
    <w:multiLevelType w:val="hybridMultilevel"/>
    <w:tmpl w:val="826016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6E02DB"/>
    <w:multiLevelType w:val="multilevel"/>
    <w:tmpl w:val="565A5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98F336F"/>
    <w:multiLevelType w:val="multilevel"/>
    <w:tmpl w:val="CA7C8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56097124">
    <w:abstractNumId w:val="5"/>
  </w:num>
  <w:num w:numId="2" w16cid:durableId="280383067">
    <w:abstractNumId w:val="8"/>
  </w:num>
  <w:num w:numId="3" w16cid:durableId="1103496343">
    <w:abstractNumId w:val="7"/>
  </w:num>
  <w:num w:numId="4" w16cid:durableId="988485340">
    <w:abstractNumId w:val="3"/>
  </w:num>
  <w:num w:numId="5" w16cid:durableId="157842913">
    <w:abstractNumId w:val="2"/>
  </w:num>
  <w:num w:numId="6" w16cid:durableId="1703820590">
    <w:abstractNumId w:val="0"/>
  </w:num>
  <w:num w:numId="7" w16cid:durableId="1930388726">
    <w:abstractNumId w:val="1"/>
  </w:num>
  <w:num w:numId="8" w16cid:durableId="317610547">
    <w:abstractNumId w:val="9"/>
  </w:num>
  <w:num w:numId="9" w16cid:durableId="68190439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0044815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5A03"/>
    <w:rsid w:val="00007647"/>
    <w:rsid w:val="0001752A"/>
    <w:rsid w:val="00020DF8"/>
    <w:rsid w:val="00034496"/>
    <w:rsid w:val="00036AA1"/>
    <w:rsid w:val="00092CC9"/>
    <w:rsid w:val="000B4704"/>
    <w:rsid w:val="000E6969"/>
    <w:rsid w:val="000F32F0"/>
    <w:rsid w:val="001311C7"/>
    <w:rsid w:val="001320E7"/>
    <w:rsid w:val="001C2D0A"/>
    <w:rsid w:val="002427B8"/>
    <w:rsid w:val="00252E40"/>
    <w:rsid w:val="00287381"/>
    <w:rsid w:val="002924D5"/>
    <w:rsid w:val="0029779B"/>
    <w:rsid w:val="002B4F9B"/>
    <w:rsid w:val="002E76EA"/>
    <w:rsid w:val="00317C94"/>
    <w:rsid w:val="00323733"/>
    <w:rsid w:val="00325CD4"/>
    <w:rsid w:val="00330B3E"/>
    <w:rsid w:val="003806E3"/>
    <w:rsid w:val="003806E8"/>
    <w:rsid w:val="00383678"/>
    <w:rsid w:val="003A311E"/>
    <w:rsid w:val="00402C6B"/>
    <w:rsid w:val="004166FF"/>
    <w:rsid w:val="004920CB"/>
    <w:rsid w:val="004B471C"/>
    <w:rsid w:val="004C3484"/>
    <w:rsid w:val="004E69DA"/>
    <w:rsid w:val="004F674C"/>
    <w:rsid w:val="005013D7"/>
    <w:rsid w:val="00507057"/>
    <w:rsid w:val="00516113"/>
    <w:rsid w:val="0054167F"/>
    <w:rsid w:val="005644D4"/>
    <w:rsid w:val="00575835"/>
    <w:rsid w:val="00585212"/>
    <w:rsid w:val="005A37F2"/>
    <w:rsid w:val="005C2428"/>
    <w:rsid w:val="00603AE0"/>
    <w:rsid w:val="00635084"/>
    <w:rsid w:val="00640660"/>
    <w:rsid w:val="00644B25"/>
    <w:rsid w:val="00644EA5"/>
    <w:rsid w:val="0064797F"/>
    <w:rsid w:val="0066587F"/>
    <w:rsid w:val="00672DBB"/>
    <w:rsid w:val="006911F8"/>
    <w:rsid w:val="006A7478"/>
    <w:rsid w:val="006B09AB"/>
    <w:rsid w:val="006C2B81"/>
    <w:rsid w:val="006D2180"/>
    <w:rsid w:val="006D75CE"/>
    <w:rsid w:val="00705789"/>
    <w:rsid w:val="007140E6"/>
    <w:rsid w:val="007866DB"/>
    <w:rsid w:val="007A2080"/>
    <w:rsid w:val="007A20BE"/>
    <w:rsid w:val="007E275D"/>
    <w:rsid w:val="007F754D"/>
    <w:rsid w:val="0082025A"/>
    <w:rsid w:val="00850893"/>
    <w:rsid w:val="00877A3C"/>
    <w:rsid w:val="00896190"/>
    <w:rsid w:val="008A5E31"/>
    <w:rsid w:val="008B000C"/>
    <w:rsid w:val="008D16AE"/>
    <w:rsid w:val="00910B01"/>
    <w:rsid w:val="009352A8"/>
    <w:rsid w:val="0094453C"/>
    <w:rsid w:val="00967FA3"/>
    <w:rsid w:val="00973C34"/>
    <w:rsid w:val="009B7652"/>
    <w:rsid w:val="009B7A2E"/>
    <w:rsid w:val="00A063FE"/>
    <w:rsid w:val="00A645D8"/>
    <w:rsid w:val="00A715A0"/>
    <w:rsid w:val="00A7344D"/>
    <w:rsid w:val="00A73713"/>
    <w:rsid w:val="00AA0707"/>
    <w:rsid w:val="00AB3077"/>
    <w:rsid w:val="00B75918"/>
    <w:rsid w:val="00B82803"/>
    <w:rsid w:val="00BF157F"/>
    <w:rsid w:val="00C00196"/>
    <w:rsid w:val="00C44EE6"/>
    <w:rsid w:val="00C74BAC"/>
    <w:rsid w:val="00CB73FE"/>
    <w:rsid w:val="00CE72C4"/>
    <w:rsid w:val="00CF5A03"/>
    <w:rsid w:val="00D177E6"/>
    <w:rsid w:val="00D37591"/>
    <w:rsid w:val="00D417D6"/>
    <w:rsid w:val="00D43BAA"/>
    <w:rsid w:val="00D47BB7"/>
    <w:rsid w:val="00D70B7F"/>
    <w:rsid w:val="00D72E82"/>
    <w:rsid w:val="00D76785"/>
    <w:rsid w:val="00DC70B9"/>
    <w:rsid w:val="00DE49D4"/>
    <w:rsid w:val="00DF2A27"/>
    <w:rsid w:val="00DF7E43"/>
    <w:rsid w:val="00E061DB"/>
    <w:rsid w:val="00E13D44"/>
    <w:rsid w:val="00E16A34"/>
    <w:rsid w:val="00E2080F"/>
    <w:rsid w:val="00E30D97"/>
    <w:rsid w:val="00E935CA"/>
    <w:rsid w:val="00EB0EAB"/>
    <w:rsid w:val="00EB773B"/>
    <w:rsid w:val="00EC330C"/>
    <w:rsid w:val="00ED127C"/>
    <w:rsid w:val="00F25D8E"/>
    <w:rsid w:val="00F349D4"/>
    <w:rsid w:val="00F46352"/>
    <w:rsid w:val="00F504BA"/>
    <w:rsid w:val="00F50DF5"/>
    <w:rsid w:val="00F66F60"/>
    <w:rsid w:val="00FB7AF0"/>
    <w:rsid w:val="00FC0398"/>
    <w:rsid w:val="00FF71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A23FB"/>
  <w15:docId w15:val="{F9FBB37E-9F6A-47BF-A0EF-E33D5B2ED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7591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910B0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7591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0B01"/>
    <w:pPr>
      <w:keepNext/>
      <w:widowControl w:val="0"/>
      <w:suppressAutoHyphens/>
      <w:spacing w:before="240" w:after="60" w:line="240" w:lineRule="auto"/>
      <w:outlineLvl w:val="3"/>
    </w:pPr>
    <w:rPr>
      <w:rFonts w:ascii="Calibri" w:eastAsia="Times New Roman" w:hAnsi="Calibri" w:cs="Mangal"/>
      <w:b/>
      <w:bCs/>
      <w:kern w:val="1"/>
      <w:sz w:val="28"/>
      <w:szCs w:val="25"/>
      <w:lang w:eastAsia="hi-IN" w:bidi="hi-I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F5A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092CC9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092C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967FA3"/>
    <w:pPr>
      <w:spacing w:after="160" w:line="259" w:lineRule="auto"/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910B01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0B01"/>
    <w:rPr>
      <w:rFonts w:ascii="Calibri" w:eastAsia="Times New Roman" w:hAnsi="Calibri" w:cs="Mangal"/>
      <w:b/>
      <w:bCs/>
      <w:kern w:val="1"/>
      <w:sz w:val="28"/>
      <w:szCs w:val="25"/>
      <w:lang w:eastAsia="hi-I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417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17D6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B7591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7591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47B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9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12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12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28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1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51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66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3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54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2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9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41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50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79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6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28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16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47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3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52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43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94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54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94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03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21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75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5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9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59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96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12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gvs-nomenclature.org/recommendations/general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mc.ncbi.nlm.nih.gov/articles/PMC8550944/" TargetMode="External"/><Relationship Id="rId12" Type="http://schemas.openxmlformats.org/officeDocument/2006/relationships/hyperlink" Target="https://share.google/umJQZ5UWbrk3nq6D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cbi.nlm.nih.gov/pmc/articles/PMC6528456/" TargetMode="External"/><Relationship Id="rId11" Type="http://schemas.openxmlformats.org/officeDocument/2006/relationships/hyperlink" Target="http://www.wple.net/plek/przeglad_lekarski.htm" TargetMode="External"/><Relationship Id="rId5" Type="http://schemas.openxmlformats.org/officeDocument/2006/relationships/hyperlink" Target="https://yadda.icm.edu.pl/baztech/element/bwmeta1.element.baztech-95df8166-731f-4729-8376-9d03a0ef0a4b" TargetMode="External"/><Relationship Id="rId10" Type="http://schemas.openxmlformats.org/officeDocument/2006/relationships/hyperlink" Target="https://doi:10.1016/j.achaem.2017.04.00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1016/j.achaem.2014.07.00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1121</Words>
  <Characters>6728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dsk</dc:creator>
  <cp:lastModifiedBy>Dagmara Szmajda-Krygier</cp:lastModifiedBy>
  <cp:revision>3</cp:revision>
  <cp:lastPrinted>2022-09-13T13:02:00Z</cp:lastPrinted>
  <dcterms:created xsi:type="dcterms:W3CDTF">2026-09-29T11:04:00Z</dcterms:created>
  <dcterms:modified xsi:type="dcterms:W3CDTF">2026-09-29T11:04:00Z</dcterms:modified>
</cp:coreProperties>
</file>