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Pr="004B471C" w:rsidRDefault="00EC330C" w:rsidP="000E696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Rok akademicki 2023/2024</w:t>
      </w:r>
    </w:p>
    <w:p w:rsidR="000E6969" w:rsidRPr="004B471C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Przedmiot: Diagnostyka molekularna</w:t>
      </w:r>
    </w:p>
    <w:p w:rsidR="000E6969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Kierunek: Analityka Medyczna, III rok</w:t>
      </w:r>
    </w:p>
    <w:p w:rsidR="00E16A34" w:rsidRDefault="00E16A34" w:rsidP="00E16A34">
      <w:pPr>
        <w:rPr>
          <w:rFonts w:cstheme="minorHAnsi"/>
        </w:rPr>
      </w:pPr>
    </w:p>
    <w:p w:rsidR="00D417D6" w:rsidRPr="004B471C" w:rsidRDefault="00D417D6" w:rsidP="00D417D6">
      <w:pPr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Seminaria:</w:t>
      </w:r>
    </w:p>
    <w:p w:rsidR="00D417D6" w:rsidRPr="004B471C" w:rsidRDefault="00D417D6" w:rsidP="00D417D6">
      <w:pPr>
        <w:rPr>
          <w:rFonts w:cstheme="minorHAnsi"/>
        </w:rPr>
      </w:pPr>
      <w:r>
        <w:rPr>
          <w:rFonts w:cstheme="minorHAnsi"/>
        </w:rPr>
        <w:t>Poniedziałki</w:t>
      </w:r>
      <w:r w:rsidRPr="004B471C">
        <w:rPr>
          <w:rFonts w:cstheme="minorHAnsi"/>
        </w:rPr>
        <w:t xml:space="preserve"> </w:t>
      </w:r>
    </w:p>
    <w:tbl>
      <w:tblPr>
        <w:tblStyle w:val="Tabela-Siatka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29779B" w:rsidRPr="004B471C" w:rsidTr="0029779B">
        <w:trPr>
          <w:trHeight w:val="455"/>
        </w:trPr>
        <w:tc>
          <w:tcPr>
            <w:tcW w:w="2122" w:type="dxa"/>
          </w:tcPr>
          <w:p w:rsidR="0029779B" w:rsidRDefault="0029779B" w:rsidP="00297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  <w:p w:rsidR="0029779B" w:rsidRPr="004B471C" w:rsidRDefault="0029779B" w:rsidP="00297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11:00-13:15</w:t>
            </w:r>
          </w:p>
        </w:tc>
        <w:tc>
          <w:tcPr>
            <w:tcW w:w="2126" w:type="dxa"/>
          </w:tcPr>
          <w:p w:rsidR="0029779B" w:rsidRDefault="0029779B" w:rsidP="002F2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  <w:p w:rsidR="00FB7AF0" w:rsidRPr="004B471C" w:rsidRDefault="00FB7AF0" w:rsidP="002F2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2126" w:type="dxa"/>
            <w:shd w:val="clear" w:color="auto" w:fill="auto"/>
          </w:tcPr>
          <w:p w:rsidR="0029779B" w:rsidRDefault="00FB7AF0" w:rsidP="002F2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 </w:t>
            </w:r>
          </w:p>
          <w:p w:rsidR="00FB7AF0" w:rsidRDefault="00FB7AF0" w:rsidP="002F2674">
            <w:pPr>
              <w:jc w:val="center"/>
              <w:rPr>
                <w:rFonts w:cstheme="minorHAnsi"/>
              </w:rPr>
            </w:pPr>
            <w:r w:rsidRPr="00FB7AF0">
              <w:rPr>
                <w:rFonts w:cstheme="minorHAnsi"/>
              </w:rPr>
              <w:t>13:30 - 15:45</w:t>
            </w:r>
          </w:p>
        </w:tc>
        <w:tc>
          <w:tcPr>
            <w:tcW w:w="2126" w:type="dxa"/>
          </w:tcPr>
          <w:p w:rsidR="0029779B" w:rsidRDefault="0029779B" w:rsidP="002F2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  <w:p w:rsidR="00FB7AF0" w:rsidRDefault="00FB7AF0" w:rsidP="002F2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</w:tr>
      <w:tr w:rsidR="00FB7AF0" w:rsidRPr="004B471C" w:rsidTr="002E76EA">
        <w:trPr>
          <w:trHeight w:val="482"/>
        </w:trPr>
        <w:tc>
          <w:tcPr>
            <w:tcW w:w="2122" w:type="dxa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</w:p>
        </w:tc>
        <w:tc>
          <w:tcPr>
            <w:tcW w:w="2126" w:type="dxa"/>
            <w:shd w:val="clear" w:color="auto" w:fill="FF0000"/>
          </w:tcPr>
          <w:p w:rsidR="00FB7AF0" w:rsidRPr="004B471C" w:rsidRDefault="00BB08E7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D75CE">
              <w:rPr>
                <w:rFonts w:cstheme="minorHAnsi"/>
              </w:rPr>
              <w:t xml:space="preserve"> s 4A</w:t>
            </w:r>
            <w:r w:rsidR="00FB7AF0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</w:p>
        </w:tc>
        <w:tc>
          <w:tcPr>
            <w:tcW w:w="2126" w:type="dxa"/>
            <w:shd w:val="clear" w:color="auto" w:fill="FFFF00"/>
          </w:tcPr>
          <w:p w:rsidR="00FB7AF0" w:rsidRPr="004B471C" w:rsidRDefault="00BB08E7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06E3">
              <w:rPr>
                <w:rFonts w:cstheme="minorHAnsi"/>
              </w:rPr>
              <w:t xml:space="preserve"> s</w:t>
            </w:r>
            <w:r w:rsidR="002E76EA">
              <w:rPr>
                <w:rFonts w:cstheme="minorHAnsi"/>
              </w:rPr>
              <w:t xml:space="preserve"> </w:t>
            </w:r>
            <w:r w:rsidR="006D75CE">
              <w:rPr>
                <w:rFonts w:cstheme="minorHAnsi"/>
              </w:rPr>
              <w:t xml:space="preserve">4A </w:t>
            </w:r>
          </w:p>
        </w:tc>
      </w:tr>
      <w:tr w:rsidR="00FB7AF0" w:rsidRPr="004B471C" w:rsidTr="002E76EA">
        <w:trPr>
          <w:trHeight w:val="455"/>
        </w:trPr>
        <w:tc>
          <w:tcPr>
            <w:tcW w:w="2122" w:type="dxa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</w:p>
        </w:tc>
        <w:tc>
          <w:tcPr>
            <w:tcW w:w="2126" w:type="dxa"/>
            <w:shd w:val="clear" w:color="auto" w:fill="FFFF00"/>
          </w:tcPr>
          <w:p w:rsidR="00FB7AF0" w:rsidRPr="004B471C" w:rsidRDefault="00BB08E7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7AF0">
              <w:rPr>
                <w:rFonts w:cstheme="minorHAnsi"/>
              </w:rPr>
              <w:t xml:space="preserve"> s</w:t>
            </w:r>
            <w:r w:rsidR="006D75CE">
              <w:rPr>
                <w:rFonts w:cstheme="minorHAnsi"/>
              </w:rPr>
              <w:t xml:space="preserve"> 221</w:t>
            </w:r>
            <w:r w:rsidR="00FB7AF0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</w:p>
        </w:tc>
        <w:tc>
          <w:tcPr>
            <w:tcW w:w="2126" w:type="dxa"/>
            <w:shd w:val="clear" w:color="auto" w:fill="FF0000"/>
          </w:tcPr>
          <w:p w:rsidR="00FB7AF0" w:rsidRPr="004B471C" w:rsidRDefault="00BB08E7" w:rsidP="00FB7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  <w:r w:rsidR="00FB7AF0">
              <w:rPr>
                <w:rFonts w:cstheme="minorHAnsi"/>
              </w:rPr>
              <w:t xml:space="preserve"> </w:t>
            </w:r>
            <w:r w:rsidR="007A2080">
              <w:rPr>
                <w:rFonts w:cstheme="minorHAnsi"/>
              </w:rPr>
              <w:t xml:space="preserve">s. </w:t>
            </w:r>
            <w:r w:rsidR="006D75CE">
              <w:rPr>
                <w:rFonts w:cstheme="minorHAnsi"/>
              </w:rPr>
              <w:t xml:space="preserve">221 </w:t>
            </w:r>
          </w:p>
        </w:tc>
      </w:tr>
      <w:tr w:rsidR="00FB7AF0" w:rsidRPr="004B471C" w:rsidTr="003806E3">
        <w:trPr>
          <w:trHeight w:val="482"/>
        </w:trPr>
        <w:tc>
          <w:tcPr>
            <w:tcW w:w="2122" w:type="dxa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B7AF0" w:rsidRPr="004B471C" w:rsidRDefault="00FB7AF0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s. </w:t>
            </w:r>
            <w:r w:rsidR="006D75CE">
              <w:rPr>
                <w:rFonts w:cstheme="minorHAnsi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</w:p>
        </w:tc>
        <w:tc>
          <w:tcPr>
            <w:tcW w:w="2126" w:type="dxa"/>
            <w:shd w:val="clear" w:color="auto" w:fill="00B0F0"/>
          </w:tcPr>
          <w:p w:rsidR="00FB7AF0" w:rsidRPr="004B471C" w:rsidRDefault="003806E3" w:rsidP="00FB7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s.</w:t>
            </w:r>
            <w:r w:rsidR="006D75CE">
              <w:rPr>
                <w:rFonts w:cstheme="minorHAnsi"/>
              </w:rPr>
              <w:t xml:space="preserve"> 3 </w:t>
            </w:r>
            <w:r w:rsidR="0087524E">
              <w:rPr>
                <w:rFonts w:cstheme="minorHAnsi"/>
              </w:rPr>
              <w:t xml:space="preserve"> </w:t>
            </w:r>
          </w:p>
        </w:tc>
      </w:tr>
      <w:tr w:rsidR="00FB7AF0" w:rsidRPr="004B471C" w:rsidTr="00896190">
        <w:trPr>
          <w:trHeight w:val="455"/>
        </w:trPr>
        <w:tc>
          <w:tcPr>
            <w:tcW w:w="2122" w:type="dxa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</w:p>
        </w:tc>
        <w:tc>
          <w:tcPr>
            <w:tcW w:w="2126" w:type="dxa"/>
            <w:shd w:val="clear" w:color="auto" w:fill="00B0F0"/>
          </w:tcPr>
          <w:p w:rsidR="00FB7AF0" w:rsidRPr="004B471C" w:rsidRDefault="00A73713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13:30! </w:t>
            </w:r>
            <w:r w:rsidR="00FB7AF0">
              <w:rPr>
                <w:rFonts w:cstheme="minorHAnsi"/>
              </w:rPr>
              <w:t xml:space="preserve">4 </w:t>
            </w:r>
            <w:proofErr w:type="gramStart"/>
            <w:r w:rsidR="00FB7AF0">
              <w:rPr>
                <w:rFonts w:cstheme="minorHAnsi"/>
              </w:rPr>
              <w:t>s</w:t>
            </w:r>
            <w:proofErr w:type="gramEnd"/>
            <w:r w:rsidR="00FB7AF0">
              <w:rPr>
                <w:rFonts w:cstheme="minorHAnsi"/>
              </w:rPr>
              <w:t>.</w:t>
            </w:r>
            <w:r w:rsidR="006D75CE">
              <w:rPr>
                <w:rFonts w:cstheme="minorHAnsi"/>
              </w:rPr>
              <w:t xml:space="preserve"> 3</w:t>
            </w:r>
            <w:r w:rsidR="00FB7AF0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</w:p>
        </w:tc>
        <w:tc>
          <w:tcPr>
            <w:tcW w:w="2126" w:type="dxa"/>
            <w:shd w:val="clear" w:color="auto" w:fill="92D050"/>
          </w:tcPr>
          <w:p w:rsidR="00FB7AF0" w:rsidRPr="004B471C" w:rsidRDefault="00FB7AF0" w:rsidP="00FB7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A2080">
              <w:rPr>
                <w:rFonts w:cstheme="minorHAnsi"/>
              </w:rPr>
              <w:t xml:space="preserve">s. </w:t>
            </w:r>
            <w:r w:rsidR="006D75CE">
              <w:rPr>
                <w:rFonts w:cstheme="minorHAnsi"/>
              </w:rPr>
              <w:t xml:space="preserve">2 </w:t>
            </w:r>
          </w:p>
        </w:tc>
      </w:tr>
      <w:tr w:rsidR="00FB7AF0" w:rsidRPr="004B471C" w:rsidTr="003806E3">
        <w:trPr>
          <w:trHeight w:val="509"/>
        </w:trPr>
        <w:tc>
          <w:tcPr>
            <w:tcW w:w="2122" w:type="dxa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18.12</w:t>
            </w:r>
          </w:p>
        </w:tc>
        <w:tc>
          <w:tcPr>
            <w:tcW w:w="2126" w:type="dxa"/>
            <w:shd w:val="clear" w:color="auto" w:fill="92D050"/>
          </w:tcPr>
          <w:p w:rsidR="00FB7AF0" w:rsidRPr="004B471C" w:rsidRDefault="00FB7AF0" w:rsidP="007A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s. </w:t>
            </w:r>
            <w:r w:rsidR="006D75CE">
              <w:rPr>
                <w:rFonts w:cstheme="minorHAnsi"/>
              </w:rPr>
              <w:t xml:space="preserve">215 </w:t>
            </w:r>
          </w:p>
        </w:tc>
        <w:tc>
          <w:tcPr>
            <w:tcW w:w="2126" w:type="dxa"/>
            <w:shd w:val="clear" w:color="auto" w:fill="auto"/>
          </w:tcPr>
          <w:p w:rsidR="00FB7AF0" w:rsidRPr="004B471C" w:rsidRDefault="00FB7AF0" w:rsidP="00FB7AF0">
            <w:pPr>
              <w:rPr>
                <w:rFonts w:cstheme="minorHAnsi"/>
              </w:rPr>
            </w:pPr>
            <w:r>
              <w:rPr>
                <w:rFonts w:cstheme="minorHAnsi"/>
              </w:rPr>
              <w:t>18.12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B7AF0" w:rsidRPr="004B471C" w:rsidRDefault="003806E3" w:rsidP="00FB7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s.</w:t>
            </w:r>
            <w:r w:rsidR="00325CD4">
              <w:rPr>
                <w:rFonts w:cstheme="minorHAnsi"/>
              </w:rPr>
              <w:t xml:space="preserve"> </w:t>
            </w:r>
            <w:r w:rsidR="006D75CE">
              <w:rPr>
                <w:rFonts w:cstheme="minorHAnsi"/>
              </w:rPr>
              <w:t xml:space="preserve">215 </w:t>
            </w:r>
          </w:p>
        </w:tc>
      </w:tr>
    </w:tbl>
    <w:p w:rsidR="00D417D6" w:rsidRPr="004B471C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D417D6" w:rsidRDefault="00D417D6" w:rsidP="00D417D6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7F754D" w:rsidRPr="004B471C" w:rsidRDefault="007F754D" w:rsidP="004B471C">
      <w:pPr>
        <w:rPr>
          <w:rFonts w:cstheme="minorHAnsi"/>
        </w:rPr>
      </w:pPr>
    </w:p>
    <w:p w:rsidR="00BF157F" w:rsidRPr="004B471C" w:rsidRDefault="00BF157F" w:rsidP="00BF157F">
      <w:pPr>
        <w:shd w:val="clear" w:color="auto" w:fill="FFFF00"/>
        <w:rPr>
          <w:rFonts w:cstheme="minorHAnsi"/>
          <w:b/>
          <w:color w:val="000000" w:themeColor="text1"/>
          <w:u w:val="single"/>
        </w:rPr>
      </w:pPr>
      <w:r w:rsidRPr="004B471C">
        <w:rPr>
          <w:rFonts w:cstheme="minorHAnsi"/>
          <w:b/>
          <w:color w:val="000000" w:themeColor="text1"/>
          <w:u w:val="single"/>
        </w:rPr>
        <w:t xml:space="preserve">Seminarium 1 </w:t>
      </w:r>
    </w:p>
    <w:p w:rsidR="00BF157F" w:rsidRPr="004B471C" w:rsidRDefault="00BF157F" w:rsidP="00BF157F">
      <w:pPr>
        <w:rPr>
          <w:rFonts w:cstheme="minorHAnsi"/>
        </w:rPr>
      </w:pPr>
      <w:r w:rsidRPr="004B471C">
        <w:rPr>
          <w:rFonts w:cstheme="minorHAnsi"/>
          <w:color w:val="201F1E"/>
          <w:shd w:val="clear" w:color="auto" w:fill="FFFFFF"/>
        </w:rPr>
        <w:t>Temat: Sekwencjonowanie DNA</w:t>
      </w:r>
    </w:p>
    <w:p w:rsidR="00BF157F" w:rsidRPr="004B471C" w:rsidRDefault="00BF157F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Zagadnienia:</w:t>
      </w:r>
    </w:p>
    <w:p w:rsidR="00BF157F" w:rsidRPr="004B471C" w:rsidRDefault="00BF157F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Definicja sekwencjonowania,</w:t>
      </w:r>
      <w:r>
        <w:rPr>
          <w:rFonts w:cstheme="minorHAnsi"/>
          <w:color w:val="201F1E"/>
        </w:rPr>
        <w:t xml:space="preserve"> rodzaje sekwencjonowania ze względu na skalę (definicje WES, WGS, </w:t>
      </w:r>
      <w:proofErr w:type="spellStart"/>
      <w:r>
        <w:rPr>
          <w:rFonts w:cstheme="minorHAnsi"/>
          <w:color w:val="201F1E"/>
        </w:rPr>
        <w:t>targeted</w:t>
      </w:r>
      <w:proofErr w:type="spellEnd"/>
      <w:r>
        <w:rPr>
          <w:rFonts w:cstheme="minorHAnsi"/>
          <w:color w:val="201F1E"/>
        </w:rPr>
        <w:t xml:space="preserve"> </w:t>
      </w:r>
      <w:proofErr w:type="spellStart"/>
      <w:r>
        <w:rPr>
          <w:rFonts w:cstheme="minorHAnsi"/>
          <w:color w:val="201F1E"/>
        </w:rPr>
        <w:t>seq</w:t>
      </w:r>
      <w:proofErr w:type="spellEnd"/>
      <w:r>
        <w:rPr>
          <w:rFonts w:cstheme="minorHAnsi"/>
          <w:color w:val="201F1E"/>
        </w:rPr>
        <w:t>),</w:t>
      </w:r>
      <w:r w:rsidRPr="004B471C">
        <w:rPr>
          <w:rFonts w:cstheme="minorHAnsi"/>
          <w:color w:val="201F1E"/>
        </w:rPr>
        <w:t xml:space="preserve"> metoda </w:t>
      </w:r>
      <w:proofErr w:type="spellStart"/>
      <w:r w:rsidRPr="004B471C">
        <w:rPr>
          <w:rFonts w:cstheme="minorHAnsi"/>
          <w:color w:val="201F1E"/>
        </w:rPr>
        <w:t>Sangera</w:t>
      </w:r>
      <w:proofErr w:type="spellEnd"/>
      <w:r w:rsidRPr="004B471C">
        <w:rPr>
          <w:rFonts w:cstheme="minorHAnsi"/>
          <w:color w:val="201F1E"/>
        </w:rPr>
        <w:t xml:space="preserve"> oraz jej modyfikacje, </w:t>
      </w:r>
      <w:proofErr w:type="spellStart"/>
      <w:r w:rsidRPr="004B471C">
        <w:rPr>
          <w:rFonts w:cstheme="minorHAnsi"/>
          <w:color w:val="201F1E"/>
        </w:rPr>
        <w:t>pirosekwencjonowanie</w:t>
      </w:r>
      <w:proofErr w:type="spellEnd"/>
      <w:r w:rsidRPr="004B471C">
        <w:rPr>
          <w:rFonts w:cstheme="minorHAnsi"/>
          <w:color w:val="201F1E"/>
        </w:rPr>
        <w:t xml:space="preserve">, ewolucja metod sekwencjonowania oraz ogólny schemat metod nowej generacji, </w:t>
      </w:r>
      <w:r>
        <w:rPr>
          <w:rFonts w:cstheme="minorHAnsi"/>
          <w:color w:val="201F1E"/>
        </w:rPr>
        <w:t xml:space="preserve">Metody NGS (Roche454, </w:t>
      </w:r>
      <w:proofErr w:type="spellStart"/>
      <w:r>
        <w:rPr>
          <w:rFonts w:cstheme="minorHAnsi"/>
          <w:color w:val="201F1E"/>
        </w:rPr>
        <w:t>Illumina</w:t>
      </w:r>
      <w:proofErr w:type="spellEnd"/>
      <w:r>
        <w:rPr>
          <w:rFonts w:cstheme="minorHAnsi"/>
          <w:color w:val="201F1E"/>
        </w:rPr>
        <w:t xml:space="preserve">, </w:t>
      </w:r>
      <w:proofErr w:type="spellStart"/>
      <w:r>
        <w:rPr>
          <w:rFonts w:cstheme="minorHAnsi"/>
          <w:color w:val="201F1E"/>
        </w:rPr>
        <w:t>IonTorrent</w:t>
      </w:r>
      <w:proofErr w:type="spellEnd"/>
      <w:r>
        <w:rPr>
          <w:rFonts w:cstheme="minorHAnsi"/>
          <w:color w:val="201F1E"/>
        </w:rPr>
        <w:t xml:space="preserve">, </w:t>
      </w:r>
      <w:proofErr w:type="spellStart"/>
      <w:r>
        <w:rPr>
          <w:rFonts w:cstheme="minorHAnsi"/>
          <w:color w:val="201F1E"/>
        </w:rPr>
        <w:t>SOLiD</w:t>
      </w:r>
      <w:proofErr w:type="spellEnd"/>
      <w:r>
        <w:rPr>
          <w:rFonts w:cstheme="minorHAnsi"/>
          <w:color w:val="201F1E"/>
        </w:rPr>
        <w:t>), Metody III generacji (</w:t>
      </w:r>
      <w:proofErr w:type="spellStart"/>
      <w:r>
        <w:rPr>
          <w:rFonts w:cstheme="minorHAnsi"/>
          <w:color w:val="201F1E"/>
        </w:rPr>
        <w:t>PacBio</w:t>
      </w:r>
      <w:proofErr w:type="spellEnd"/>
      <w:r>
        <w:rPr>
          <w:rFonts w:cstheme="minorHAnsi"/>
          <w:color w:val="201F1E"/>
        </w:rPr>
        <w:t xml:space="preserve"> SMRT, Oxford </w:t>
      </w:r>
      <w:proofErr w:type="spellStart"/>
      <w:r>
        <w:rPr>
          <w:rFonts w:cstheme="minorHAnsi"/>
          <w:color w:val="201F1E"/>
        </w:rPr>
        <w:t>Nanopore</w:t>
      </w:r>
      <w:proofErr w:type="spellEnd"/>
      <w:r>
        <w:rPr>
          <w:rFonts w:cstheme="minorHAnsi"/>
          <w:color w:val="201F1E"/>
        </w:rPr>
        <w:t xml:space="preserve"> – zasada, wady i zalety), </w:t>
      </w:r>
    </w:p>
    <w:p w:rsidR="00BF157F" w:rsidRPr="004B471C" w:rsidRDefault="00BF157F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Materiały:</w:t>
      </w:r>
    </w:p>
    <w:p w:rsidR="00BF157F" w:rsidRPr="004B471C" w:rsidRDefault="00BB08E7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5" w:tgtFrame="_blank" w:history="1">
        <w:r w:rsidR="00BF157F" w:rsidRPr="004B471C">
          <w:rPr>
            <w:rStyle w:val="Hipercze"/>
            <w:rFonts w:cstheme="minorHAnsi"/>
            <w:bdr w:val="none" w:sz="0" w:space="0" w:color="auto" w:frame="1"/>
          </w:rPr>
          <w:t>http://www.pfb.info.pl/files/kwartalnik/4_2010/02.%20kotowska.pdf</w:t>
        </w:r>
      </w:hyperlink>
      <w:r w:rsidR="00BF157F" w:rsidRPr="004B471C">
        <w:rPr>
          <w:rFonts w:cstheme="minorHAnsi"/>
          <w:color w:val="201F1E"/>
        </w:rPr>
        <w:t> </w:t>
      </w:r>
    </w:p>
    <w:p w:rsidR="00BF157F" w:rsidRPr="004B471C" w:rsidRDefault="00BB08E7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6" w:tgtFrame="_blank" w:history="1">
        <w:r w:rsidR="00BF157F" w:rsidRPr="004B471C">
          <w:rPr>
            <w:rStyle w:val="Hipercze"/>
            <w:rFonts w:cstheme="minorHAnsi"/>
            <w:bdr w:val="none" w:sz="0" w:space="0" w:color="auto" w:frame="1"/>
          </w:rPr>
          <w:t>https://biotechnologia.pl/biotechnologia/metody-sekwencjonowania-powtorka-przed-sesja,14136</w:t>
        </w:r>
      </w:hyperlink>
      <w:r w:rsidR="00BF157F" w:rsidRPr="004B471C">
        <w:rPr>
          <w:rFonts w:cstheme="minorHAnsi"/>
          <w:color w:val="201F1E"/>
        </w:rPr>
        <w:t> </w:t>
      </w:r>
    </w:p>
    <w:p w:rsidR="00BF157F" w:rsidRDefault="00BF157F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 </w:t>
      </w:r>
      <w:hyperlink r:id="rId7" w:tgtFrame="_blank" w:history="1">
        <w:r w:rsidRPr="004B471C">
          <w:rPr>
            <w:rStyle w:val="Hipercze"/>
            <w:rFonts w:cstheme="minorHAnsi"/>
            <w:bdr w:val="none" w:sz="0" w:space="0" w:color="auto" w:frame="1"/>
          </w:rPr>
          <w:t>http://yadda.icm.edu.pl/baztech/element/bwmeta1.element.baztech-95df8166-731f-4729-8376-9d03a0ef0a4b</w:t>
        </w:r>
      </w:hyperlink>
      <w:r w:rsidRPr="004B471C">
        <w:rPr>
          <w:rFonts w:cstheme="minorHAnsi"/>
          <w:color w:val="201F1E"/>
        </w:rPr>
        <w:t> (należy pobrać pdf poprzez klikniecie w ikonę) </w:t>
      </w:r>
    </w:p>
    <w:p w:rsidR="00BF157F" w:rsidRDefault="00BB08E7" w:rsidP="00BF157F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8" w:history="1">
        <w:r w:rsidR="00BF157F" w:rsidRPr="00687AA2">
          <w:rPr>
            <w:rStyle w:val="Hipercze"/>
            <w:rFonts w:cstheme="minorHAnsi"/>
          </w:rPr>
          <w:t>https://problemykryminalistyki.pl/pliki/dokumenty//wozniak_boron_zbiecpiekarska_spolnicka_zastosowanie.pdf</w:t>
        </w:r>
      </w:hyperlink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</w:p>
    <w:p w:rsidR="004B471C" w:rsidRPr="004B471C" w:rsidRDefault="004B471C" w:rsidP="004B471C">
      <w:pPr>
        <w:shd w:val="clear" w:color="auto" w:fill="FF0000"/>
        <w:textAlignment w:val="baseline"/>
        <w:rPr>
          <w:rFonts w:cstheme="minorHAnsi"/>
          <w:b/>
          <w:color w:val="000000" w:themeColor="text1"/>
          <w:u w:val="single"/>
        </w:rPr>
      </w:pPr>
      <w:r w:rsidRPr="004B471C">
        <w:rPr>
          <w:rFonts w:cstheme="minorHAnsi"/>
          <w:b/>
          <w:color w:val="000000" w:themeColor="text1"/>
          <w:u w:val="single"/>
        </w:rPr>
        <w:t>Seminarium 2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Temat: Aspekty prawne w badaniach genetycznych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Zagadnienia: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regulacja</w:t>
      </w:r>
      <w:proofErr w:type="gramEnd"/>
      <w:r w:rsidRPr="004B471C">
        <w:rPr>
          <w:rFonts w:eastAsia="Times New Roman" w:cstheme="minorHAnsi"/>
          <w:lang w:eastAsia="pl-PL"/>
        </w:rPr>
        <w:t xml:space="preserve"> warunków dopuszczenia na rynek medyczny testów diagnostycznych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Ustawa</w:t>
      </w:r>
      <w:proofErr w:type="gramEnd"/>
      <w:r w:rsidRPr="004B471C">
        <w:rPr>
          <w:rFonts w:eastAsia="Times New Roman" w:cstheme="minorHAnsi"/>
          <w:lang w:eastAsia="pl-PL"/>
        </w:rPr>
        <w:t xml:space="preserve"> o Diagnostyce Laboratoryjnej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rozporządzenie</w:t>
      </w:r>
      <w:proofErr w:type="gramEnd"/>
      <w:r w:rsidRPr="004B471C">
        <w:rPr>
          <w:rFonts w:eastAsia="Times New Roman" w:cstheme="minorHAnsi"/>
          <w:lang w:eastAsia="pl-PL"/>
        </w:rPr>
        <w:t xml:space="preserve"> MZ w sprawie standardów jakości dla Medycznych Laboratoriów Diagnostycznych i Mikrobiologicznych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standardy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jakości dla laboratorium w zakresie czynności laboratoryjnej diagnostyki genetycznej oraz laboratoryjnej interpretacji i autoryzacji wyniku badań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stanowisko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Międzynarodowego Komitetu Bioetycznego UNESCO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stanowisko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Zespołu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ds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Molekularnych Badań Genetycznych i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Biobankowania</w:t>
      </w:r>
      <w:proofErr w:type="spellEnd"/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Ustawa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o Prawach Pacjenta</w:t>
      </w:r>
    </w:p>
    <w:p w:rsidR="004B471C" w:rsidRPr="004B471C" w:rsidRDefault="004B471C" w:rsidP="004B471C">
      <w:pPr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Europejska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Konwencja Bioetyczna</w:t>
      </w:r>
    </w:p>
    <w:p w:rsidR="004B471C" w:rsidRPr="004B471C" w:rsidRDefault="004B471C" w:rsidP="004B471C">
      <w:pPr>
        <w:rPr>
          <w:rFonts w:cstheme="minorHAnsi"/>
        </w:rPr>
      </w:pPr>
    </w:p>
    <w:p w:rsidR="004B471C" w:rsidRPr="004B471C" w:rsidRDefault="004B471C" w:rsidP="004B471C">
      <w:pPr>
        <w:shd w:val="clear" w:color="auto" w:fill="92D05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Seminarium 3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 xml:space="preserve">Temat: „Praktyczne aspekty </w:t>
      </w:r>
      <w:proofErr w:type="spellStart"/>
      <w:r w:rsidRPr="004B471C">
        <w:rPr>
          <w:rFonts w:cstheme="minorHAnsi"/>
        </w:rPr>
        <w:t>farmakogenetyki</w:t>
      </w:r>
      <w:proofErr w:type="spellEnd"/>
      <w:r w:rsidRPr="004B471C">
        <w:rPr>
          <w:rFonts w:cstheme="minorHAnsi"/>
        </w:rPr>
        <w:t>”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Materiał wykładowy z przedmiotu Biologia Molekularna 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Farmakogenetyka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– znaczenie w chemioterapii raka jelita grubego. Mariusz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Panczyk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Marek Mirowski. Nowotwory.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Journal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of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Oncology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2008;58(1):62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Aspekty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farmakogenetyczne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u pacjentów ze współwystępującymi chorobami somatycznymi i psychicznymi. James R.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Rundell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MD, Gen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Shinozaki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, MD</w:t>
      </w:r>
      <w:proofErr w:type="gramStart"/>
      <w:r w:rsidRPr="004B471C">
        <w:rPr>
          <w:rFonts w:eastAsia="Times New Roman" w:cstheme="minorHAnsi"/>
          <w:color w:val="000000"/>
          <w:lang w:eastAsia="pl-PL"/>
        </w:rPr>
        <w:t>, Tom</w:t>
      </w:r>
      <w:proofErr w:type="gramEnd"/>
      <w:r w:rsidRPr="004B471C">
        <w:rPr>
          <w:rFonts w:eastAsia="Times New Roman" w:cstheme="minorHAnsi"/>
          <w:color w:val="000000"/>
          <w:lang w:eastAsia="pl-PL"/>
        </w:rPr>
        <w:t xml:space="preserve"> 7, Nr 3, 2010, Psychiatria po Dyplomie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Rozdział X.1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Farmakogenetyka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, wraz z podrozdziałami</w:t>
      </w:r>
      <w:proofErr w:type="gramStart"/>
      <w:r w:rsidRPr="004B471C">
        <w:rPr>
          <w:rFonts w:eastAsia="Times New Roman" w:cstheme="minorHAnsi"/>
          <w:color w:val="000000"/>
          <w:lang w:eastAsia="pl-PL"/>
        </w:rPr>
        <w:t>, 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Biologia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molekularna w medycynie. Elementy genetyki klinicznej Jerzy Bal, 2013 (zakres stron w tym wydaniu 290-305)</w:t>
      </w:r>
    </w:p>
    <w:p w:rsidR="004B471C" w:rsidRPr="004B471C" w:rsidRDefault="004B471C" w:rsidP="004B471C">
      <w:pPr>
        <w:rPr>
          <w:rFonts w:cstheme="minorHAnsi"/>
        </w:rPr>
      </w:pPr>
    </w:p>
    <w:p w:rsidR="004B471C" w:rsidRPr="004B471C" w:rsidRDefault="004B471C" w:rsidP="004B471C">
      <w:pPr>
        <w:shd w:val="clear" w:color="auto" w:fill="00B0F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 xml:space="preserve">Seminarium 4 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Temat: "Mutacje dynamiczne i choroby wieloczynnikowe":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Zagadnienia: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Definicja mutacji dynamicznej, zjawisko antycypacji genetycznej, przykłady chorób wywołanych mutacjami dynamicznymi.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Uwarunkowania wielogenowe i wieloczynnikowe chorób i/lub cech fenotypowych. Przykłady chorób i/lub cech fenotypowych o uwarunkowaniach wielogenowych lub wieloczynnikowych, model dziedziczenia wieloczynnikowego wg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Falconera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Zjawiska: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kodominacja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heterogenność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loci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plejotropizm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lastRenderedPageBreak/>
        <w:t>Źródła: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="240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Nadgrodkiewicz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K,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Kifer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I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Choroba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Huntingtona jako przykład choroby neurodegeneracyjnej ze szczególnym uwzględnieniem aspektów genetycznych. 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Postępy Psychiatrii i Neurologii, 2002, II, 149-153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Kozubski W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Neurologia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Wydawnictwo Lekarskie PZWL, Warszawa, 2006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Bal J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Biologia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molekularna w medycynie. Elementy genetyki klinicznej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PWN, Warszawa, 2013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Tobias E, Connor M, Ferguson M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Genetyka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Medyczna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PZWL, Warszawa, 2013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Fletcher H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 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Hickey</w:t>
      </w:r>
      <w:proofErr w:type="spellEnd"/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I, Winter P: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Genetyka – krótkie wykłady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 PWN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 Warszawa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 2010</w:t>
      </w:r>
    </w:p>
    <w:p w:rsidR="004B471C" w:rsidRPr="004B471C" w:rsidRDefault="004B471C" w:rsidP="004B471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ABF8F" w:themeFill="accent6" w:themeFillTint="99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4B471C">
        <w:rPr>
          <w:rFonts w:eastAsia="Times New Roman" w:cstheme="minorHAnsi"/>
          <w:b/>
          <w:color w:val="000000" w:themeColor="text1"/>
          <w:u w:val="single"/>
          <w:bdr w:val="none" w:sz="0" w:space="0" w:color="auto" w:frame="1"/>
          <w:lang w:eastAsia="pl-PL"/>
        </w:rPr>
        <w:t>Seminarium 5:</w:t>
      </w: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Temat: Diagnostyka molekularna w hematologii</w:t>
      </w:r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Zagadnienia</w:t>
      </w:r>
      <w:r w:rsidRPr="004B471C">
        <w:rPr>
          <w:rFonts w:cstheme="minorHAnsi"/>
          <w:color w:val="000000" w:themeColor="text1"/>
        </w:rPr>
        <w:t>:</w:t>
      </w:r>
    </w:p>
    <w:p w:rsidR="004B471C" w:rsidRPr="004B471C" w:rsidRDefault="004B471C" w:rsidP="004B471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Wykorzystanie technik biologii molekularnej w diagnostyce białaczek.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Minimalna choroba resztkowa (MRD)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Markery oznaczane w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Zastosowanie i znaczenie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Metody oznaczania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Schemat monitorowania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Diagnostyka molekularna zaburzeń krzepnięcia i fibrynolizy</w:t>
      </w: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Materiały obowiązkowe:</w:t>
      </w:r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Skrypt:</w:t>
      </w:r>
      <w:r w:rsidRPr="004B471C">
        <w:rPr>
          <w:rFonts w:cstheme="minorHAnsi"/>
          <w:color w:val="000000" w:themeColor="text1"/>
        </w:rPr>
        <w:t xml:space="preserve"> „Wybrane zagadnienia biologii molekularnej” pod red. </w:t>
      </w:r>
      <w:proofErr w:type="spellStart"/>
      <w:r w:rsidRPr="004B471C">
        <w:rPr>
          <w:rFonts w:cstheme="minorHAnsi"/>
          <w:color w:val="000000" w:themeColor="text1"/>
        </w:rPr>
        <w:t>R.Wierzbickiego</w:t>
      </w:r>
      <w:proofErr w:type="spellEnd"/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Wykład „Diagnostyka molekularna zaburzeń hemostazy” – przedmiot: diagnostyka molekularna, Analityka Medyczna 2020/2021</w:t>
      </w:r>
    </w:p>
    <w:p w:rsidR="004B471C" w:rsidRPr="004B471C" w:rsidRDefault="004B471C" w:rsidP="004B471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4B471C">
        <w:rPr>
          <w:rFonts w:cstheme="minorHAnsi"/>
          <w:color w:val="000000" w:themeColor="text1"/>
        </w:rPr>
        <w:t>MAŁGORZATA DAWIDOWSKA, JACEK WACHOWIAK „</w:t>
      </w:r>
      <w:r w:rsidRPr="004B471C">
        <w:rPr>
          <w:rFonts w:eastAsia="Times New Roman" w:cstheme="minorHAnsi"/>
          <w:color w:val="000000" w:themeColor="text1"/>
          <w:lang w:eastAsia="pl-PL"/>
        </w:rPr>
        <w:t xml:space="preserve">ROZWÓJ BADAŃ MOLEKULARNYCH W HEMATOONKOLOGII – MONITOROWANIE MINIMALNEJ CHOROBY RESZTKOWEJ W OSTREJ BIAŁACZCE </w:t>
      </w:r>
      <w:proofErr w:type="gramStart"/>
      <w:r w:rsidRPr="004B471C">
        <w:rPr>
          <w:rFonts w:eastAsia="Times New Roman" w:cstheme="minorHAnsi"/>
          <w:color w:val="000000" w:themeColor="text1"/>
          <w:lang w:eastAsia="pl-PL"/>
        </w:rPr>
        <w:t>LIMFOBLASTYCZNEJ  I</w:t>
      </w:r>
      <w:proofErr w:type="gramEnd"/>
      <w:r w:rsidRPr="004B471C">
        <w:rPr>
          <w:rFonts w:eastAsia="Times New Roman" w:cstheme="minorHAnsi"/>
          <w:color w:val="000000" w:themeColor="text1"/>
          <w:lang w:eastAsia="pl-PL"/>
        </w:rPr>
        <w:t xml:space="preserve"> POTRANSPLANTACYJNEGO CHIMERYZMU HEMATOPOETYCZNEGO” </w:t>
      </w:r>
      <w:r w:rsidRPr="004B471C">
        <w:rPr>
          <w:rFonts w:cstheme="minorHAnsi"/>
          <w:color w:val="000000" w:themeColor="text1"/>
        </w:rPr>
        <w:t xml:space="preserve">Nowiny Lekarskie 2007, 76, 3, 282-291 </w:t>
      </w:r>
      <w:hyperlink r:id="rId9" w:history="1">
        <w:r w:rsidRPr="004B471C">
          <w:rPr>
            <w:rStyle w:val="Hipercze"/>
            <w:rFonts w:cstheme="minorHAnsi"/>
            <w:color w:val="000000" w:themeColor="text1"/>
            <w:lang w:eastAsia="hi-IN" w:bidi="hi-IN"/>
          </w:rPr>
          <w:t>http://www.nowinylekarskie.ump.edu.pl/uploads/2007/3/282_3_76_2007.pdf</w:t>
        </w:r>
      </w:hyperlink>
    </w:p>
    <w:p w:rsidR="004B471C" w:rsidRPr="004B471C" w:rsidRDefault="004B471C" w:rsidP="004B471C">
      <w:pPr>
        <w:pStyle w:val="Nagwek4"/>
        <w:numPr>
          <w:ilvl w:val="0"/>
          <w:numId w:val="4"/>
        </w:numPr>
        <w:rPr>
          <w:rFonts w:asciiTheme="minorHAnsi" w:hAnsiTheme="minorHAnsi" w:cstheme="minorHAnsi"/>
          <w:b w:val="0"/>
          <w:color w:val="000000" w:themeColor="text1"/>
          <w:kern w:val="0"/>
          <w:sz w:val="22"/>
          <w:szCs w:val="22"/>
          <w:lang w:eastAsia="pl-PL" w:bidi="ar-SA"/>
        </w:rPr>
      </w:pPr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KRYSTYNA JAGODA · BEATA STELLA-HOŁOWIECKA „Badanie choroby resztkowej (MRD) metodą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cytometrii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przepływowej w ostrej białaczce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limfoblastycznej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 linii T (T -OBL) u dorosłych” Acta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Haematologica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Polonica, 2004, 35, 4 </w:t>
      </w:r>
    </w:p>
    <w:p w:rsidR="004B471C" w:rsidRPr="004B471C" w:rsidRDefault="00BB08E7" w:rsidP="004B471C">
      <w:pPr>
        <w:pStyle w:val="Nagwek4"/>
        <w:ind w:left="7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hyperlink r:id="rId10" w:anchor="fulltext" w:history="1">
        <w:r w:rsidR="004B471C" w:rsidRPr="004B471C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http://pthit.pl/Acta_Haematologica_Polonica,Choroba_resztkowa_MRD_Ostra_bialaczka_lim</w:t>
        </w:r>
        <w:r w:rsidR="004B471C" w:rsidRPr="004B471C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lastRenderedPageBreak/>
          <w:t>foblastyczna_T_komorkowa_T_OBL_Zakresy_norm_Cytometria_prze,228.html#fulltext</w:t>
        </w:r>
      </w:hyperlink>
    </w:p>
    <w:p w:rsidR="004B471C" w:rsidRPr="004B471C" w:rsidRDefault="004B471C" w:rsidP="004B471C">
      <w:pPr>
        <w:rPr>
          <w:rFonts w:cstheme="minorHAnsi"/>
          <w:color w:val="000000" w:themeColor="text1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BookAntiqua-Bold" w:cstheme="minorHAnsi"/>
          <w:bCs/>
          <w:color w:val="000000" w:themeColor="text1"/>
          <w:lang w:eastAsia="pl-PL"/>
        </w:rPr>
      </w:pPr>
      <w:r w:rsidRPr="004B471C">
        <w:rPr>
          <w:rFonts w:eastAsia="BookAntiqua-Bold" w:cstheme="minorHAnsi"/>
          <w:bCs/>
          <w:color w:val="000000" w:themeColor="text1"/>
          <w:lang w:eastAsia="pl-PL"/>
        </w:rPr>
        <w:t xml:space="preserve">Małgorzata Dawidowska, Jacek Wachowiak, Michał Witt „Molekularne metody diagnostyki i oceny efektywności terapii we współczesnej </w:t>
      </w:r>
      <w:proofErr w:type="spellStart"/>
      <w:r w:rsidRPr="004B471C">
        <w:rPr>
          <w:rFonts w:eastAsia="BookAntiqua-Bold" w:cstheme="minorHAnsi"/>
          <w:bCs/>
          <w:color w:val="000000" w:themeColor="text1"/>
          <w:lang w:eastAsia="pl-PL"/>
        </w:rPr>
        <w:t>hematoonkologii</w:t>
      </w:r>
      <w:proofErr w:type="spellEnd"/>
      <w:r w:rsidRPr="004B471C">
        <w:rPr>
          <w:rFonts w:eastAsia="BookAntiqua-Bold" w:cstheme="minorHAnsi"/>
          <w:bCs/>
          <w:color w:val="000000" w:themeColor="text1"/>
          <w:lang w:eastAsia="pl-PL"/>
        </w:rPr>
        <w:t xml:space="preserve"> pediatrycznej” </w:t>
      </w:r>
      <w:r w:rsidRPr="004B471C">
        <w:rPr>
          <w:rFonts w:eastAsia="BookAntiqua" w:cstheme="minorHAnsi"/>
          <w:color w:val="000000" w:themeColor="text1"/>
          <w:lang w:eastAsia="pl-PL"/>
        </w:rPr>
        <w:t xml:space="preserve">Postępy </w:t>
      </w:r>
      <w:proofErr w:type="gramStart"/>
      <w:r w:rsidRPr="004B471C">
        <w:rPr>
          <w:rFonts w:eastAsia="BookAntiqua" w:cstheme="minorHAnsi"/>
          <w:color w:val="000000" w:themeColor="text1"/>
          <w:lang w:eastAsia="pl-PL"/>
        </w:rPr>
        <w:t xml:space="preserve">Biochemii 52 (4) 2006  </w:t>
      </w:r>
      <w:hyperlink r:id="rId11" w:history="1">
        <w:proofErr w:type="gramEnd"/>
        <w:r w:rsidRPr="004B471C">
          <w:rPr>
            <w:rStyle w:val="Hipercze"/>
            <w:rFonts w:eastAsia="BookAntiqua" w:cstheme="minorHAnsi"/>
            <w:color w:val="000000" w:themeColor="text1"/>
            <w:lang w:eastAsia="pl-PL"/>
          </w:rPr>
          <w:t>http://www.postepybiochemii.pl/pdf/4_2006/08_4_2006.pdf</w:t>
        </w:r>
      </w:hyperlink>
    </w:p>
    <w:p w:rsidR="004B471C" w:rsidRPr="004B471C" w:rsidRDefault="004B471C" w:rsidP="004B471C">
      <w:pPr>
        <w:autoSpaceDE w:val="0"/>
        <w:autoSpaceDN w:val="0"/>
        <w:adjustRightInd w:val="0"/>
        <w:rPr>
          <w:rFonts w:eastAsia="BookAntiqua-Bold" w:cstheme="minorHAnsi"/>
          <w:bCs/>
          <w:color w:val="000000" w:themeColor="text1"/>
          <w:lang w:eastAsia="pl-PL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eastAsia="Times New Roman" w:cstheme="minorHAnsi"/>
          <w:color w:val="000000" w:themeColor="text1"/>
          <w:lang w:eastAsia="pl-PL"/>
        </w:rPr>
        <w:t>JOANNA KOPEĆ-SZLĘZAK, JOLANTA WOŹNIAK „</w:t>
      </w:r>
      <w:r w:rsidRPr="004B471C">
        <w:rPr>
          <w:rFonts w:eastAsia="Times New Roman" w:cstheme="minorHAnsi"/>
          <w:bCs/>
          <w:color w:val="000000" w:themeColor="text1"/>
          <w:lang w:eastAsia="pl-PL"/>
        </w:rPr>
        <w:t xml:space="preserve">STANDARDOWE OZNACZANIE IMMUNOFENOTYPU KOMÓREK BIAŁACZKOWYCH W ROZPOZNAWANIU I MONITOROWANIU OSTREJ BIAŁACZKI SZPIKOWEJ (OBS)” </w:t>
      </w:r>
      <w:r w:rsidRPr="004B471C">
        <w:rPr>
          <w:rFonts w:eastAsia="Times New Roman" w:cstheme="minorHAnsi"/>
          <w:color w:val="000000" w:themeColor="text1"/>
          <w:lang w:eastAsia="pl-PL"/>
        </w:rPr>
        <w:t xml:space="preserve">Nowiny </w:t>
      </w:r>
      <w:proofErr w:type="gramStart"/>
      <w:r w:rsidRPr="004B471C">
        <w:rPr>
          <w:rFonts w:eastAsia="Times New Roman" w:cstheme="minorHAnsi"/>
          <w:color w:val="000000" w:themeColor="text1"/>
          <w:lang w:eastAsia="pl-PL"/>
        </w:rPr>
        <w:t xml:space="preserve">Lekarskie 2008, 77, 4, 273–279  </w:t>
      </w:r>
      <w:hyperlink r:id="rId12" w:history="1">
        <w:proofErr w:type="gramEnd"/>
        <w:r w:rsidRPr="004B471C">
          <w:rPr>
            <w:rStyle w:val="Hipercze"/>
            <w:rFonts w:eastAsia="Times New Roman" w:cstheme="minorHAnsi"/>
            <w:color w:val="000000" w:themeColor="text1"/>
            <w:lang w:eastAsia="pl-PL"/>
          </w:rPr>
          <w:t>http://www.nowinylekarskie.ump.edu.pl/uploads/2008/4/273_4_77_2008.pdf</w:t>
        </w:r>
      </w:hyperlink>
    </w:p>
    <w:p w:rsidR="004B471C" w:rsidRPr="004B471C" w:rsidRDefault="004B471C" w:rsidP="004B471C">
      <w:pPr>
        <w:pStyle w:val="Akapitzlist"/>
        <w:rPr>
          <w:rFonts w:cstheme="minorHAnsi"/>
          <w:bCs/>
          <w:color w:val="000000" w:themeColor="text1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cstheme="minorHAnsi"/>
          <w:bCs/>
          <w:color w:val="000000" w:themeColor="text1"/>
        </w:rPr>
        <w:t xml:space="preserve">Anna </w:t>
      </w:r>
      <w:proofErr w:type="spellStart"/>
      <w:r w:rsidRPr="004B471C">
        <w:rPr>
          <w:rFonts w:cstheme="minorHAnsi"/>
          <w:bCs/>
          <w:color w:val="000000" w:themeColor="text1"/>
        </w:rPr>
        <w:t>Skotny</w:t>
      </w:r>
      <w:proofErr w:type="spellEnd"/>
      <w:r w:rsidRPr="004B471C">
        <w:rPr>
          <w:rFonts w:cstheme="minorHAnsi"/>
          <w:bCs/>
          <w:color w:val="000000" w:themeColor="text1"/>
        </w:rPr>
        <w:t xml:space="preserve">, Joanna </w:t>
      </w:r>
      <w:proofErr w:type="spellStart"/>
      <w:r w:rsidRPr="004B471C">
        <w:rPr>
          <w:rFonts w:cstheme="minorHAnsi"/>
          <w:bCs/>
          <w:color w:val="000000" w:themeColor="text1"/>
        </w:rPr>
        <w:t>Pucińska</w:t>
      </w:r>
      <w:proofErr w:type="spellEnd"/>
      <w:r w:rsidRPr="004B471C">
        <w:rPr>
          <w:rFonts w:cstheme="minorHAnsi"/>
          <w:bCs/>
          <w:color w:val="000000" w:themeColor="text1"/>
        </w:rPr>
        <w:t xml:space="preserve"> WSPÓŁCZESNA CYTOMETRIA PRZEPŁYWOWA </w:t>
      </w:r>
      <w:r w:rsidRPr="004B471C">
        <w:rPr>
          <w:rFonts w:cstheme="minorHAnsi"/>
          <w:color w:val="000000" w:themeColor="text1"/>
        </w:rPr>
        <w:t xml:space="preserve">Acta </w:t>
      </w:r>
      <w:proofErr w:type="spellStart"/>
      <w:r w:rsidRPr="004B471C">
        <w:rPr>
          <w:rFonts w:cstheme="minorHAnsi"/>
          <w:color w:val="000000" w:themeColor="text1"/>
        </w:rPr>
        <w:t>Bio-Optica</w:t>
      </w:r>
      <w:proofErr w:type="spellEnd"/>
      <w:r w:rsidRPr="004B471C">
        <w:rPr>
          <w:rFonts w:cstheme="minorHAnsi"/>
          <w:color w:val="000000" w:themeColor="text1"/>
        </w:rPr>
        <w:t xml:space="preserve"> et </w:t>
      </w:r>
      <w:proofErr w:type="spellStart"/>
      <w:r w:rsidRPr="004B471C">
        <w:rPr>
          <w:rFonts w:cstheme="minorHAnsi"/>
          <w:color w:val="000000" w:themeColor="text1"/>
        </w:rPr>
        <w:t>Informatica</w:t>
      </w:r>
      <w:proofErr w:type="spellEnd"/>
      <w:r w:rsidRPr="004B471C">
        <w:rPr>
          <w:rFonts w:cstheme="minorHAnsi"/>
          <w:color w:val="000000" w:themeColor="text1"/>
        </w:rPr>
        <w:t xml:space="preserve"> </w:t>
      </w:r>
      <w:proofErr w:type="spellStart"/>
      <w:r w:rsidRPr="004B471C">
        <w:rPr>
          <w:rFonts w:cstheme="minorHAnsi"/>
          <w:color w:val="000000" w:themeColor="text1"/>
        </w:rPr>
        <w:t>Medica</w:t>
      </w:r>
      <w:proofErr w:type="spellEnd"/>
      <w:r w:rsidRPr="004B471C">
        <w:rPr>
          <w:rFonts w:cstheme="minorHAnsi"/>
          <w:color w:val="000000" w:themeColor="text1"/>
        </w:rPr>
        <w:t xml:space="preserve"> </w:t>
      </w:r>
      <w:r w:rsidRPr="004B471C">
        <w:rPr>
          <w:rFonts w:cstheme="minorHAnsi"/>
          <w:i/>
          <w:iCs/>
          <w:color w:val="000000" w:themeColor="text1"/>
        </w:rPr>
        <w:t>Inżynieria Biomedyczna</w:t>
      </w:r>
      <w:r w:rsidRPr="004B471C">
        <w:rPr>
          <w:rFonts w:cstheme="minorHAnsi"/>
          <w:color w:val="000000" w:themeColor="text1"/>
        </w:rPr>
        <w:t xml:space="preserve">, vol. 19, </w:t>
      </w:r>
      <w:proofErr w:type="gramStart"/>
      <w:r w:rsidRPr="004B471C">
        <w:rPr>
          <w:rFonts w:cstheme="minorHAnsi"/>
          <w:color w:val="000000" w:themeColor="text1"/>
        </w:rPr>
        <w:t xml:space="preserve">nr 1, 2013  </w:t>
      </w:r>
      <w:r w:rsidR="00A73713">
        <w:fldChar w:fldCharType="begin"/>
      </w:r>
      <w:r w:rsidR="00A73713">
        <w:instrText xml:space="preserve"> HYPERLINK "http://yadda.icm.edu.pl/baztech/element/bwmeta1.element.baztech-8a4c262e-3ba3-45d7-aba4-352e2eaa05a</w:instrText>
      </w:r>
      <w:proofErr w:type="gramEnd"/>
      <w:r w:rsidR="00A73713">
        <w:instrText xml:space="preserve">8" </w:instrText>
      </w:r>
      <w:r w:rsidR="00A73713">
        <w:fldChar w:fldCharType="separate"/>
      </w:r>
      <w:r w:rsidRPr="004B471C">
        <w:rPr>
          <w:rStyle w:val="Hipercze"/>
          <w:rFonts w:cstheme="minorHAnsi"/>
          <w:color w:val="000000" w:themeColor="text1"/>
          <w:lang w:eastAsia="hi-IN" w:bidi="hi-IN"/>
        </w:rPr>
        <w:t>http://yadda.icm.edu.pl/baztech/element/bwmeta1.element.baztech-8a4c262e-3ba3-45d7-aba4-352e2eaa05a8</w:t>
      </w:r>
      <w:r w:rsidR="00A73713">
        <w:rPr>
          <w:rStyle w:val="Hipercze"/>
          <w:rFonts w:cstheme="minorHAnsi"/>
          <w:color w:val="000000" w:themeColor="text1"/>
          <w:lang w:eastAsia="hi-IN" w:bidi="hi-IN"/>
        </w:rPr>
        <w:fldChar w:fldCharType="end"/>
      </w:r>
    </w:p>
    <w:p w:rsidR="004B471C" w:rsidRPr="004B471C" w:rsidRDefault="004B471C" w:rsidP="004B47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:rsidR="004B471C" w:rsidRPr="004B471C" w:rsidRDefault="004B471C" w:rsidP="004B47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eastAsia="Times New Roman" w:cstheme="minorHAnsi"/>
          <w:bCs/>
          <w:color w:val="000000" w:themeColor="text1"/>
          <w:lang w:eastAsia="pl-PL"/>
        </w:rPr>
        <w:t>Materiały dodatkowe:</w:t>
      </w:r>
    </w:p>
    <w:p w:rsidR="004B471C" w:rsidRPr="004B471C" w:rsidRDefault="004B471C" w:rsidP="004B471C">
      <w:pPr>
        <w:pStyle w:val="Nagwek2"/>
        <w:numPr>
          <w:ilvl w:val="0"/>
          <w:numId w:val="5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Wolfgang Kern, Susanne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Schnittger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Claudia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Schoch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Torsten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Haferlach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“Monitoring of minimal residual disease in acute myeloid leukemia” http://atlasgeneticsoncology.org/Deep/MinResDiseaseAMLID20047.html</w:t>
      </w:r>
    </w:p>
    <w:p w:rsidR="004B471C" w:rsidRPr="004B471C" w:rsidRDefault="004B471C" w:rsidP="004B471C">
      <w:pPr>
        <w:shd w:val="clear" w:color="auto" w:fill="FFFFFF" w:themeFill="background1"/>
        <w:rPr>
          <w:rFonts w:cstheme="minorHAnsi"/>
          <w:b/>
          <w:u w:val="single"/>
          <w:lang w:val="en-US"/>
        </w:rPr>
      </w:pPr>
    </w:p>
    <w:p w:rsidR="00910B01" w:rsidRPr="004B471C" w:rsidRDefault="00910B01" w:rsidP="004B471C">
      <w:pPr>
        <w:rPr>
          <w:rFonts w:cstheme="minorHAnsi"/>
          <w:b/>
          <w:u w:val="single"/>
          <w:lang w:val="en-US"/>
        </w:rPr>
      </w:pPr>
    </w:p>
    <w:sectPr w:rsidR="00910B01" w:rsidRPr="004B471C" w:rsidSect="0013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97"/>
    <w:multiLevelType w:val="multilevel"/>
    <w:tmpl w:val="2C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B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433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6C5966"/>
    <w:multiLevelType w:val="hybridMultilevel"/>
    <w:tmpl w:val="3BE0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2AF"/>
    <w:multiLevelType w:val="hybridMultilevel"/>
    <w:tmpl w:val="82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02DB"/>
    <w:multiLevelType w:val="multilevel"/>
    <w:tmpl w:val="565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3"/>
    <w:rsid w:val="00007647"/>
    <w:rsid w:val="00020DF8"/>
    <w:rsid w:val="00092CC9"/>
    <w:rsid w:val="000E6969"/>
    <w:rsid w:val="001311C7"/>
    <w:rsid w:val="002427B8"/>
    <w:rsid w:val="0029779B"/>
    <w:rsid w:val="002B4F9B"/>
    <w:rsid w:val="002E76EA"/>
    <w:rsid w:val="00317C94"/>
    <w:rsid w:val="00323733"/>
    <w:rsid w:val="00325CD4"/>
    <w:rsid w:val="003806E3"/>
    <w:rsid w:val="00383678"/>
    <w:rsid w:val="004B471C"/>
    <w:rsid w:val="004C3484"/>
    <w:rsid w:val="004E69DA"/>
    <w:rsid w:val="004F674C"/>
    <w:rsid w:val="005013D7"/>
    <w:rsid w:val="00507057"/>
    <w:rsid w:val="00585212"/>
    <w:rsid w:val="005C2428"/>
    <w:rsid w:val="00644EA5"/>
    <w:rsid w:val="00672DBB"/>
    <w:rsid w:val="006A7478"/>
    <w:rsid w:val="006C2B81"/>
    <w:rsid w:val="006D75CE"/>
    <w:rsid w:val="00705789"/>
    <w:rsid w:val="007866DB"/>
    <w:rsid w:val="007A2080"/>
    <w:rsid w:val="007A20BE"/>
    <w:rsid w:val="007E275D"/>
    <w:rsid w:val="007F754D"/>
    <w:rsid w:val="0082025A"/>
    <w:rsid w:val="00850893"/>
    <w:rsid w:val="0087524E"/>
    <w:rsid w:val="00896190"/>
    <w:rsid w:val="008A5E31"/>
    <w:rsid w:val="008B000C"/>
    <w:rsid w:val="00910B01"/>
    <w:rsid w:val="009352A8"/>
    <w:rsid w:val="00967FA3"/>
    <w:rsid w:val="00973C34"/>
    <w:rsid w:val="009B7A2E"/>
    <w:rsid w:val="00A063FE"/>
    <w:rsid w:val="00A7344D"/>
    <w:rsid w:val="00A73713"/>
    <w:rsid w:val="00B82803"/>
    <w:rsid w:val="00BB08E7"/>
    <w:rsid w:val="00BF157F"/>
    <w:rsid w:val="00C74BAC"/>
    <w:rsid w:val="00CF5A03"/>
    <w:rsid w:val="00D37591"/>
    <w:rsid w:val="00D417D6"/>
    <w:rsid w:val="00D43BAA"/>
    <w:rsid w:val="00DC70B9"/>
    <w:rsid w:val="00DE49D4"/>
    <w:rsid w:val="00DF7E43"/>
    <w:rsid w:val="00E061DB"/>
    <w:rsid w:val="00E16A34"/>
    <w:rsid w:val="00E30D97"/>
    <w:rsid w:val="00EB0EAB"/>
    <w:rsid w:val="00EC330C"/>
    <w:rsid w:val="00F349D4"/>
    <w:rsid w:val="00F504BA"/>
    <w:rsid w:val="00F66F60"/>
    <w:rsid w:val="00FB7AF0"/>
    <w:rsid w:val="00FC0398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42F5"/>
  <w15:docId w15:val="{F9FBB37E-9F6A-47BF-A0EF-E33D5B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B0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C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FA3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0B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B01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lemykryminalistyki.pl/pliki/dokumenty//wozniak_boron_zbiecpiekarska_spolnicka_zastosowan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da.icm.edu.pl/baztech/element/bwmeta1.element.baztech-95df8166-731f-4729-8376-9d03a0ef0a4b" TargetMode="External"/><Relationship Id="rId12" Type="http://schemas.openxmlformats.org/officeDocument/2006/relationships/hyperlink" Target="http://www.nowinylekarskie.ump.edu.pl/uploads/2008/4/273_4_77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chnologia.pl/biotechnologia/metody-sekwencjonowania-powtorka-przed-sesja,14136" TargetMode="External"/><Relationship Id="rId11" Type="http://schemas.openxmlformats.org/officeDocument/2006/relationships/hyperlink" Target="http://www.postepybiochemii.pl/pdf/4_2006/08_4_2006.pdf" TargetMode="External"/><Relationship Id="rId5" Type="http://schemas.openxmlformats.org/officeDocument/2006/relationships/hyperlink" Target="http://www.pfb.info.pl/files/kwartalnik/4_2010/02.%20kotowska.pdf" TargetMode="External"/><Relationship Id="rId10" Type="http://schemas.openxmlformats.org/officeDocument/2006/relationships/hyperlink" Target="http://pthit.pl/Acta_Haematologica_Polonica,Choroba_resztkowa_MRD_Ostra_bialaczka_limfoblastyczna_T_komorkowa_T_OBL_Zakresy_norm_Cytometria_prze,2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inylekarskie.ump.edu.pl/uploads/2007/3/282_3_76_20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3</cp:revision>
  <cp:lastPrinted>2022-09-13T13:02:00Z</cp:lastPrinted>
  <dcterms:created xsi:type="dcterms:W3CDTF">2023-09-26T10:19:00Z</dcterms:created>
  <dcterms:modified xsi:type="dcterms:W3CDTF">2023-10-03T08:07:00Z</dcterms:modified>
</cp:coreProperties>
</file>